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39" w:rsidRPr="00A20ACC" w:rsidRDefault="007C3639" w:rsidP="007C3639">
      <w:pPr>
        <w:pStyle w:val="En-tte"/>
        <w:rPr>
          <w:rFonts w:ascii="Times New Roman" w:hAnsi="Times New Roman"/>
          <w:sz w:val="24"/>
          <w:szCs w:val="24"/>
        </w:rPr>
      </w:pPr>
      <w:r w:rsidRPr="00A20ACC">
        <w:rPr>
          <w:rFonts w:ascii="Times New Roman" w:hAnsi="Times New Roman"/>
          <w:noProof/>
          <w:sz w:val="24"/>
          <w:szCs w:val="24"/>
          <w:lang w:eastAsia="fr-FR"/>
        </w:rPr>
        <w:drawing>
          <wp:inline distT="0" distB="0" distL="0" distR="0">
            <wp:extent cx="1228725" cy="1276350"/>
            <wp:effectExtent l="19050" t="0" r="9525" b="0"/>
            <wp:docPr id="1" name="Image 1" descr="Logo Minep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epat"/>
                    <pic:cNvPicPr>
                      <a:picLocks noChangeAspect="1" noChangeArrowheads="1"/>
                    </pic:cNvPicPr>
                  </pic:nvPicPr>
                  <pic:blipFill>
                    <a:blip r:embed="rId5" cstate="print"/>
                    <a:srcRect/>
                    <a:stretch>
                      <a:fillRect/>
                    </a:stretch>
                  </pic:blipFill>
                  <pic:spPr bwMode="auto">
                    <a:xfrm>
                      <a:off x="0" y="0"/>
                      <a:ext cx="1228725" cy="1276350"/>
                    </a:xfrm>
                    <a:prstGeom prst="rect">
                      <a:avLst/>
                    </a:prstGeom>
                    <a:noFill/>
                    <a:ln w="9525">
                      <a:noFill/>
                      <a:miter lim="800000"/>
                      <a:headEnd/>
                      <a:tailEnd/>
                    </a:ln>
                  </pic:spPr>
                </pic:pic>
              </a:graphicData>
            </a:graphic>
          </wp:inline>
        </w:drawing>
      </w:r>
      <w:r w:rsidRPr="00A20ACC">
        <w:rPr>
          <w:rFonts w:ascii="Times New Roman" w:hAnsi="Times New Roman"/>
          <w:sz w:val="24"/>
          <w:szCs w:val="24"/>
        </w:rPr>
        <w:tab/>
        <w:t xml:space="preserve">                                            </w:t>
      </w:r>
      <w:r w:rsidRPr="00A20ACC">
        <w:rPr>
          <w:rFonts w:ascii="Times New Roman" w:hAnsi="Times New Roman"/>
          <w:noProof/>
          <w:sz w:val="24"/>
          <w:szCs w:val="24"/>
          <w:lang w:eastAsia="fr-FR"/>
        </w:rPr>
        <w:drawing>
          <wp:inline distT="0" distB="0" distL="0" distR="0">
            <wp:extent cx="3943350" cy="1038225"/>
            <wp:effectExtent l="19050" t="0" r="0" b="0"/>
            <wp:docPr id="2" name="Image 2" descr="Logo Banqu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nque Mondiale"/>
                    <pic:cNvPicPr>
                      <a:picLocks noChangeAspect="1" noChangeArrowheads="1"/>
                    </pic:cNvPicPr>
                  </pic:nvPicPr>
                  <pic:blipFill>
                    <a:blip r:embed="rId6"/>
                    <a:srcRect/>
                    <a:stretch>
                      <a:fillRect/>
                    </a:stretch>
                  </pic:blipFill>
                  <pic:spPr bwMode="auto">
                    <a:xfrm>
                      <a:off x="0" y="0"/>
                      <a:ext cx="3943350" cy="1038225"/>
                    </a:xfrm>
                    <a:prstGeom prst="rect">
                      <a:avLst/>
                    </a:prstGeom>
                    <a:noFill/>
                    <a:ln w="9525">
                      <a:noFill/>
                      <a:miter lim="800000"/>
                      <a:headEnd/>
                      <a:tailEnd/>
                    </a:ln>
                  </pic:spPr>
                </pic:pic>
              </a:graphicData>
            </a:graphic>
          </wp:inline>
        </w:drawing>
      </w:r>
    </w:p>
    <w:p w:rsidR="007C3639" w:rsidRPr="00A20ACC" w:rsidRDefault="007C3639" w:rsidP="007C3639">
      <w:pPr>
        <w:spacing w:after="120"/>
        <w:jc w:val="center"/>
        <w:rPr>
          <w:rFonts w:ascii="Times New Roman" w:hAnsi="Times New Roman"/>
          <w:b/>
          <w:sz w:val="24"/>
          <w:szCs w:val="24"/>
        </w:rPr>
      </w:pPr>
    </w:p>
    <w:p w:rsidR="007C3639" w:rsidRPr="00A20ACC" w:rsidRDefault="007C3639" w:rsidP="007C3639">
      <w:pPr>
        <w:spacing w:after="120"/>
        <w:jc w:val="center"/>
        <w:rPr>
          <w:rFonts w:ascii="Times New Roman" w:hAnsi="Times New Roman"/>
          <w:b/>
          <w:sz w:val="24"/>
          <w:szCs w:val="24"/>
        </w:rPr>
      </w:pPr>
      <w:r w:rsidRPr="00A20ACC">
        <w:rPr>
          <w:rFonts w:ascii="Times New Roman" w:hAnsi="Times New Roman"/>
          <w:b/>
          <w:sz w:val="24"/>
          <w:szCs w:val="24"/>
        </w:rPr>
        <w:t>Atelier de lancement de la 3</w:t>
      </w:r>
      <w:r w:rsidRPr="00A20ACC">
        <w:rPr>
          <w:rFonts w:ascii="Times New Roman" w:hAnsi="Times New Roman"/>
          <w:b/>
          <w:sz w:val="24"/>
          <w:szCs w:val="24"/>
          <w:vertAlign w:val="superscript"/>
        </w:rPr>
        <w:t>e</w:t>
      </w:r>
      <w:r w:rsidRPr="00A20ACC">
        <w:rPr>
          <w:rFonts w:ascii="Times New Roman" w:hAnsi="Times New Roman"/>
          <w:b/>
          <w:sz w:val="24"/>
          <w:szCs w:val="24"/>
        </w:rPr>
        <w:t xml:space="preserve"> phase du </w:t>
      </w:r>
    </w:p>
    <w:p w:rsidR="007C3639" w:rsidRPr="00A20ACC" w:rsidRDefault="007C3639" w:rsidP="007C3639">
      <w:pPr>
        <w:spacing w:after="120"/>
        <w:jc w:val="center"/>
        <w:rPr>
          <w:rFonts w:ascii="Times New Roman" w:hAnsi="Times New Roman"/>
          <w:b/>
          <w:sz w:val="24"/>
          <w:szCs w:val="24"/>
        </w:rPr>
      </w:pPr>
      <w:r w:rsidRPr="00A20ACC">
        <w:rPr>
          <w:rFonts w:ascii="Times New Roman" w:hAnsi="Times New Roman"/>
          <w:b/>
          <w:sz w:val="24"/>
          <w:szCs w:val="24"/>
        </w:rPr>
        <w:t>Programme National de Développement Participatif (PNDP)</w:t>
      </w:r>
    </w:p>
    <w:p w:rsidR="007C3639" w:rsidRPr="00A20ACC" w:rsidRDefault="007C3639" w:rsidP="007C3639">
      <w:pPr>
        <w:rPr>
          <w:rFonts w:ascii="Times New Roman" w:hAnsi="Times New Roman"/>
          <w:b/>
          <w:sz w:val="24"/>
          <w:szCs w:val="24"/>
        </w:rPr>
      </w:pPr>
    </w:p>
    <w:p w:rsidR="007C3639" w:rsidRPr="00A20ACC" w:rsidRDefault="007C3639" w:rsidP="00FD2E8F">
      <w:pPr>
        <w:spacing w:before="120" w:after="120" w:line="240" w:lineRule="auto"/>
        <w:jc w:val="center"/>
        <w:rPr>
          <w:rFonts w:ascii="Times New Roman" w:hAnsi="Times New Roman"/>
          <w:b/>
          <w:color w:val="002060"/>
          <w:sz w:val="24"/>
          <w:szCs w:val="24"/>
        </w:rPr>
      </w:pPr>
      <w:r w:rsidRPr="00A20ACC">
        <w:rPr>
          <w:rFonts w:ascii="Times New Roman" w:hAnsi="Times New Roman"/>
          <w:b/>
          <w:color w:val="002060"/>
          <w:sz w:val="24"/>
          <w:szCs w:val="24"/>
        </w:rPr>
        <w:t xml:space="preserve">Sous la présidence du Ministre de l’Economie, de la Planification </w:t>
      </w:r>
    </w:p>
    <w:p w:rsidR="007C3639" w:rsidRPr="00A20ACC" w:rsidRDefault="007C3639" w:rsidP="00FD2E8F">
      <w:pPr>
        <w:spacing w:before="120" w:after="120" w:line="240" w:lineRule="auto"/>
        <w:jc w:val="center"/>
        <w:rPr>
          <w:rFonts w:ascii="Times New Roman" w:hAnsi="Times New Roman"/>
          <w:b/>
          <w:color w:val="002060"/>
          <w:sz w:val="24"/>
          <w:szCs w:val="24"/>
        </w:rPr>
      </w:pPr>
      <w:proofErr w:type="gramStart"/>
      <w:r w:rsidRPr="00A20ACC">
        <w:rPr>
          <w:rFonts w:ascii="Times New Roman" w:hAnsi="Times New Roman"/>
          <w:b/>
          <w:color w:val="002060"/>
          <w:sz w:val="24"/>
          <w:szCs w:val="24"/>
        </w:rPr>
        <w:t>et</w:t>
      </w:r>
      <w:proofErr w:type="gramEnd"/>
      <w:r w:rsidRPr="00A20ACC">
        <w:rPr>
          <w:rFonts w:ascii="Times New Roman" w:hAnsi="Times New Roman"/>
          <w:b/>
          <w:color w:val="002060"/>
          <w:sz w:val="24"/>
          <w:szCs w:val="24"/>
        </w:rPr>
        <w:t xml:space="preserve"> de l’Aménagement du Territoire (MINEPAT)</w:t>
      </w:r>
    </w:p>
    <w:p w:rsidR="007C3639" w:rsidRPr="00A20ACC" w:rsidRDefault="007C3639" w:rsidP="007C3639">
      <w:pPr>
        <w:spacing w:before="120"/>
        <w:jc w:val="center"/>
        <w:rPr>
          <w:rFonts w:ascii="Times New Roman" w:hAnsi="Times New Roman"/>
          <w:b/>
          <w:color w:val="002060"/>
          <w:sz w:val="24"/>
          <w:szCs w:val="24"/>
        </w:rPr>
      </w:pPr>
    </w:p>
    <w:p w:rsidR="007C3639" w:rsidRPr="00A20ACC" w:rsidRDefault="007C3639" w:rsidP="007C3639">
      <w:pPr>
        <w:spacing w:after="0" w:line="360" w:lineRule="auto"/>
        <w:jc w:val="center"/>
        <w:rPr>
          <w:rFonts w:ascii="Times New Roman" w:hAnsi="Times New Roman"/>
          <w:b/>
          <w:sz w:val="24"/>
          <w:szCs w:val="24"/>
        </w:rPr>
      </w:pPr>
      <w:r w:rsidRPr="00A20ACC">
        <w:rPr>
          <w:rFonts w:ascii="Times New Roman" w:hAnsi="Times New Roman"/>
          <w:b/>
          <w:sz w:val="24"/>
          <w:szCs w:val="24"/>
        </w:rPr>
        <w:t xml:space="preserve">10 et 11 mai 2016 </w:t>
      </w:r>
    </w:p>
    <w:p w:rsidR="007C3639" w:rsidRPr="00A20ACC" w:rsidRDefault="007C3639" w:rsidP="007C3639">
      <w:pPr>
        <w:spacing w:after="0" w:line="360" w:lineRule="auto"/>
        <w:jc w:val="center"/>
        <w:rPr>
          <w:rFonts w:ascii="Times New Roman" w:hAnsi="Times New Roman"/>
          <w:b/>
          <w:sz w:val="24"/>
          <w:szCs w:val="24"/>
        </w:rPr>
      </w:pPr>
      <w:r w:rsidRPr="00A20ACC">
        <w:rPr>
          <w:rFonts w:ascii="Times New Roman" w:hAnsi="Times New Roman"/>
          <w:b/>
          <w:sz w:val="24"/>
          <w:szCs w:val="24"/>
        </w:rPr>
        <w:t>Hilton Hôtel de Yaoundé</w:t>
      </w:r>
    </w:p>
    <w:p w:rsidR="007C3639" w:rsidRPr="00A20ACC" w:rsidRDefault="007C3639" w:rsidP="007C3639">
      <w:pPr>
        <w:jc w:val="center"/>
        <w:rPr>
          <w:rFonts w:ascii="Times New Roman" w:hAnsi="Times New Roman"/>
          <w:b/>
          <w:sz w:val="24"/>
          <w:szCs w:val="24"/>
        </w:rPr>
      </w:pPr>
      <w:r w:rsidRPr="00A20ACC">
        <w:rPr>
          <w:rFonts w:ascii="Times New Roman" w:hAnsi="Times New Roman"/>
          <w:b/>
          <w:sz w:val="24"/>
          <w:szCs w:val="24"/>
        </w:rPr>
        <w:t>________________________________________</w:t>
      </w:r>
    </w:p>
    <w:p w:rsidR="007C3639" w:rsidRPr="00A20ACC" w:rsidRDefault="007C3639" w:rsidP="007C3639">
      <w:pPr>
        <w:ind w:left="2124" w:firstLine="708"/>
        <w:rPr>
          <w:rFonts w:ascii="Times New Roman" w:hAnsi="Times New Roman"/>
          <w:sz w:val="24"/>
          <w:szCs w:val="24"/>
        </w:rPr>
      </w:pPr>
      <w:r w:rsidRPr="00A20ACC">
        <w:rPr>
          <w:rFonts w:ascii="Times New Roman" w:hAnsi="Times New Roman"/>
          <w:noProof/>
          <w:sz w:val="24"/>
          <w:szCs w:val="24"/>
          <w:lang w:eastAsia="fr-FR"/>
        </w:rPr>
        <w:drawing>
          <wp:inline distT="0" distB="0" distL="0" distR="0">
            <wp:extent cx="2990850" cy="1857375"/>
            <wp:effectExtent l="19050" t="0" r="0" b="0"/>
            <wp:docPr id="3" name="Image 3" descr="Logo P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NDP"/>
                    <pic:cNvPicPr>
                      <a:picLocks noChangeAspect="1" noChangeArrowheads="1"/>
                    </pic:cNvPicPr>
                  </pic:nvPicPr>
                  <pic:blipFill>
                    <a:blip r:embed="rId7" cstate="print"/>
                    <a:srcRect/>
                    <a:stretch>
                      <a:fillRect/>
                    </a:stretch>
                  </pic:blipFill>
                  <pic:spPr bwMode="auto">
                    <a:xfrm>
                      <a:off x="0" y="0"/>
                      <a:ext cx="2990850" cy="1857375"/>
                    </a:xfrm>
                    <a:prstGeom prst="rect">
                      <a:avLst/>
                    </a:prstGeom>
                    <a:noFill/>
                    <a:ln w="9525">
                      <a:noFill/>
                      <a:miter lim="800000"/>
                      <a:headEnd/>
                      <a:tailEnd/>
                    </a:ln>
                  </pic:spPr>
                </pic:pic>
              </a:graphicData>
            </a:graphic>
          </wp:inline>
        </w:drawing>
      </w:r>
    </w:p>
    <w:p w:rsidR="007C3639" w:rsidRPr="00A20ACC" w:rsidRDefault="007C3639" w:rsidP="007C3639">
      <w:pPr>
        <w:rPr>
          <w:rFonts w:ascii="Times New Roman" w:hAnsi="Times New Roman"/>
          <w:sz w:val="24"/>
          <w:szCs w:val="24"/>
        </w:rPr>
      </w:pPr>
      <w:r w:rsidRPr="00A20ACC">
        <w:rPr>
          <w:rFonts w:ascii="Times New Roman" w:hAnsi="Times New Roman"/>
          <w:b/>
          <w:noProof/>
          <w:sz w:val="24"/>
          <w:szCs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95.9pt;margin-top:12.45pt;width:345.8pt;height:55.0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" strokecolor="#4f81bd" strokeweight="2pt">
            <v:textbox>
              <w:txbxContent>
                <w:p w:rsidR="007C3639" w:rsidRPr="00104A01" w:rsidRDefault="007C3639" w:rsidP="007C363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60"/>
                      <w:szCs w:val="60"/>
                    </w:rPr>
                  </w:pPr>
                  <w:r w:rsidRPr="00104A01">
                    <w:rPr>
                      <w:b/>
                      <w:sz w:val="60"/>
                      <w:szCs w:val="60"/>
                    </w:rPr>
                    <w:t>DOSSIER DE PRESSE</w:t>
                  </w:r>
                </w:p>
              </w:txbxContent>
            </v:textbox>
          </v:shape>
        </w:pict>
      </w:r>
    </w:p>
    <w:p w:rsidR="007C3639" w:rsidRPr="00A20ACC" w:rsidRDefault="007C3639" w:rsidP="007C3639">
      <w:pPr>
        <w:ind w:left="708" w:firstLine="708"/>
        <w:rPr>
          <w:rFonts w:ascii="Times New Roman" w:hAnsi="Times New Roman"/>
          <w:noProof/>
          <w:sz w:val="24"/>
          <w:szCs w:val="24"/>
          <w:lang w:eastAsia="fr-FR"/>
        </w:rPr>
      </w:pPr>
      <w:r w:rsidRPr="00A20ACC">
        <w:rPr>
          <w:rFonts w:ascii="Times New Roman" w:hAnsi="Times New Roman"/>
          <w:sz w:val="24"/>
          <w:szCs w:val="24"/>
        </w:rPr>
        <w:tab/>
      </w:r>
    </w:p>
    <w:p w:rsidR="007C3639" w:rsidRPr="00A20ACC" w:rsidRDefault="007C3639" w:rsidP="007C3639">
      <w:pPr>
        <w:ind w:left="708" w:firstLine="708"/>
        <w:rPr>
          <w:rFonts w:ascii="Times New Roman" w:hAnsi="Times New Roman"/>
          <w:noProof/>
          <w:sz w:val="24"/>
          <w:szCs w:val="24"/>
          <w:lang w:eastAsia="fr-FR"/>
        </w:rPr>
      </w:pPr>
    </w:p>
    <w:p w:rsidR="007C3639" w:rsidRPr="00A20ACC" w:rsidRDefault="007C3639" w:rsidP="007C3639">
      <w:pPr>
        <w:rPr>
          <w:rFonts w:ascii="Times New Roman" w:hAnsi="Times New Roman"/>
          <w:noProof/>
          <w:sz w:val="24"/>
          <w:szCs w:val="24"/>
          <w:lang w:eastAsia="fr-FR"/>
        </w:rPr>
      </w:pPr>
    </w:p>
    <w:p w:rsidR="007C3639" w:rsidRPr="00A20ACC" w:rsidRDefault="007C3639" w:rsidP="00023A44">
      <w:pPr>
        <w:ind w:left="4248" w:firstLine="708"/>
        <w:rPr>
          <w:rFonts w:ascii="Times New Roman" w:hAnsi="Times New Roman"/>
          <w:sz w:val="24"/>
          <w:szCs w:val="24"/>
        </w:rPr>
      </w:pPr>
      <w:r w:rsidRPr="00A20ACC">
        <w:rPr>
          <w:rFonts w:ascii="Times New Roman" w:hAnsi="Times New Roman"/>
          <w:sz w:val="24"/>
          <w:szCs w:val="24"/>
          <w:u w:val="single"/>
        </w:rPr>
        <w:t>Contact</w:t>
      </w:r>
      <w:r w:rsidRPr="00A20ACC">
        <w:rPr>
          <w:rFonts w:ascii="Times New Roman" w:hAnsi="Times New Roman"/>
          <w:sz w:val="24"/>
          <w:szCs w:val="24"/>
        </w:rPr>
        <w:t> :</w:t>
      </w:r>
    </w:p>
    <w:p w:rsidR="007C3639" w:rsidRPr="00A20ACC" w:rsidRDefault="00023A44" w:rsidP="007C3639">
      <w:pPr>
        <w:jc w:val="center"/>
        <w:rPr>
          <w:rFonts w:ascii="Times New Roman" w:hAnsi="Times New Roman"/>
          <w:sz w:val="24"/>
          <w:szCs w:val="24"/>
        </w:rPr>
      </w:pPr>
      <w:r>
        <w:rPr>
          <w:rFonts w:ascii="Times New Roman" w:hAnsi="Times New Roman"/>
          <w:sz w:val="24"/>
          <w:szCs w:val="24"/>
        </w:rPr>
        <w:t xml:space="preserve">Alain KAMDEM </w:t>
      </w:r>
      <w:r w:rsidR="007C3639" w:rsidRPr="00A20ACC">
        <w:rPr>
          <w:rFonts w:ascii="Times New Roman" w:hAnsi="Times New Roman"/>
          <w:sz w:val="24"/>
          <w:szCs w:val="24"/>
        </w:rPr>
        <w:t>: 691 913</w:t>
      </w:r>
      <w:r>
        <w:rPr>
          <w:rFonts w:ascii="Times New Roman" w:hAnsi="Times New Roman"/>
          <w:sz w:val="24"/>
          <w:szCs w:val="24"/>
        </w:rPr>
        <w:t> </w:t>
      </w:r>
      <w:r w:rsidR="007C3639" w:rsidRPr="00A20ACC">
        <w:rPr>
          <w:rFonts w:ascii="Times New Roman" w:hAnsi="Times New Roman"/>
          <w:sz w:val="24"/>
          <w:szCs w:val="24"/>
        </w:rPr>
        <w:t>104</w:t>
      </w:r>
    </w:p>
    <w:p w:rsidR="007C3639" w:rsidRPr="00A20ACC" w:rsidRDefault="007C3639" w:rsidP="00023A44">
      <w:pPr>
        <w:pStyle w:val="En-ttedetabledesmatires1"/>
        <w:ind w:left="2832" w:firstLine="708"/>
        <w:rPr>
          <w:rFonts w:ascii="Times New Roman" w:hAnsi="Times New Roman"/>
          <w:color w:val="auto"/>
          <w:sz w:val="24"/>
          <w:szCs w:val="24"/>
        </w:rPr>
      </w:pPr>
      <w:r w:rsidRPr="00A20ACC">
        <w:rPr>
          <w:rFonts w:ascii="Times New Roman" w:hAnsi="Times New Roman"/>
          <w:color w:val="auto"/>
          <w:sz w:val="24"/>
          <w:szCs w:val="24"/>
        </w:rPr>
        <w:lastRenderedPageBreak/>
        <w:t>SOMMAIRE</w:t>
      </w:r>
    </w:p>
    <w:p w:rsidR="007C3639" w:rsidRPr="00A20ACC" w:rsidRDefault="007C3639" w:rsidP="007C3639">
      <w:pPr>
        <w:rPr>
          <w:rFonts w:ascii="Times New Roman" w:hAnsi="Times New Roman"/>
          <w:sz w:val="24"/>
          <w:szCs w:val="24"/>
        </w:rPr>
      </w:pP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b w:val="0"/>
        </w:rPr>
        <w:fldChar w:fldCharType="begin"/>
      </w:r>
      <w:r w:rsidRPr="00A20ACC">
        <w:rPr>
          <w:rFonts w:ascii="Times New Roman" w:hAnsi="Times New Roman"/>
        </w:rPr>
        <w:instrText>TOC \o "1-3" \h \z \u</w:instrText>
      </w:r>
      <w:r w:rsidRPr="00A20ACC">
        <w:rPr>
          <w:rFonts w:ascii="Times New Roman" w:hAnsi="Times New Roman"/>
          <w:b w:val="0"/>
        </w:rPr>
        <w:fldChar w:fldCharType="separate"/>
      </w:r>
      <w:r w:rsidRPr="00A20ACC">
        <w:rPr>
          <w:rFonts w:ascii="Times New Roman" w:hAnsi="Times New Roman"/>
          <w:noProof/>
        </w:rPr>
        <w:t>1.</w:t>
      </w:r>
      <w:r w:rsidRPr="00A20ACC">
        <w:rPr>
          <w:rFonts w:ascii="Times New Roman" w:hAnsi="Times New Roman"/>
          <w:b w:val="0"/>
          <w:noProof/>
          <w:lang w:eastAsia="ja-JP"/>
        </w:rPr>
        <w:tab/>
      </w:r>
      <w:r w:rsidRPr="00A20ACC">
        <w:rPr>
          <w:rFonts w:ascii="Times New Roman" w:hAnsi="Times New Roman"/>
          <w:noProof/>
        </w:rPr>
        <w:t>Contexte et justification</w:t>
      </w:r>
      <w:r w:rsidRPr="00A20ACC">
        <w:rPr>
          <w:rFonts w:ascii="Times New Roman" w:hAnsi="Times New Roman"/>
          <w:noProof/>
        </w:rPr>
        <w:tab/>
      </w:r>
      <w:r w:rsidRPr="00A20ACC">
        <w:rPr>
          <w:rFonts w:ascii="Times New Roman" w:hAnsi="Times New Roman"/>
          <w:noProof/>
        </w:rPr>
        <w:fldChar w:fldCharType="begin"/>
      </w:r>
      <w:r w:rsidRPr="00A20ACC">
        <w:rPr>
          <w:rFonts w:ascii="Times New Roman" w:hAnsi="Times New Roman"/>
          <w:noProof/>
        </w:rPr>
        <w:instrText xml:space="preserve"> PAGEREF _Toc315801871 \h </w:instrText>
      </w:r>
      <w:r w:rsidRPr="00A20ACC">
        <w:rPr>
          <w:rFonts w:ascii="Times New Roman" w:hAnsi="Times New Roman"/>
          <w:noProof/>
        </w:rPr>
      </w:r>
      <w:r w:rsidRPr="00A20ACC">
        <w:rPr>
          <w:rFonts w:ascii="Times New Roman" w:hAnsi="Times New Roman"/>
          <w:noProof/>
        </w:rPr>
        <w:fldChar w:fldCharType="separate"/>
      </w:r>
      <w:r w:rsidRPr="00A20ACC">
        <w:rPr>
          <w:rFonts w:ascii="Times New Roman" w:hAnsi="Times New Roman"/>
          <w:noProof/>
        </w:rPr>
        <w:t>3</w:t>
      </w:r>
      <w:r w:rsidRPr="00A20ACC">
        <w:rPr>
          <w:rFonts w:ascii="Times New Roman" w:hAnsi="Times New Roman"/>
          <w:noProof/>
        </w:rPr>
        <w:fldChar w:fldCharType="end"/>
      </w: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noProof/>
        </w:rPr>
        <w:t>2.</w:t>
      </w:r>
      <w:r w:rsidRPr="00A20ACC">
        <w:rPr>
          <w:rFonts w:ascii="Times New Roman" w:hAnsi="Times New Roman"/>
          <w:b w:val="0"/>
          <w:noProof/>
          <w:lang w:eastAsia="ja-JP"/>
        </w:rPr>
        <w:tab/>
      </w:r>
      <w:r w:rsidR="00023A44">
        <w:rPr>
          <w:rFonts w:ascii="Times New Roman" w:hAnsi="Times New Roman"/>
          <w:noProof/>
        </w:rPr>
        <w:t>Objectifs de l'atelier de lancement</w:t>
      </w:r>
      <w:r w:rsidRPr="00A20ACC">
        <w:rPr>
          <w:rFonts w:ascii="Times New Roman" w:hAnsi="Times New Roman"/>
          <w:noProof/>
        </w:rPr>
        <w:tab/>
      </w:r>
      <w:r w:rsidRPr="00A20ACC">
        <w:rPr>
          <w:rFonts w:ascii="Times New Roman" w:hAnsi="Times New Roman"/>
          <w:noProof/>
        </w:rPr>
        <w:fldChar w:fldCharType="begin"/>
      </w:r>
      <w:r w:rsidRPr="00A20ACC">
        <w:rPr>
          <w:rFonts w:ascii="Times New Roman" w:hAnsi="Times New Roman"/>
          <w:noProof/>
        </w:rPr>
        <w:instrText xml:space="preserve"> PAGEREF _Toc315801872 \h </w:instrText>
      </w:r>
      <w:r w:rsidRPr="00A20ACC">
        <w:rPr>
          <w:rFonts w:ascii="Times New Roman" w:hAnsi="Times New Roman"/>
          <w:noProof/>
        </w:rPr>
      </w:r>
      <w:r w:rsidRPr="00A20ACC">
        <w:rPr>
          <w:rFonts w:ascii="Times New Roman" w:hAnsi="Times New Roman"/>
          <w:noProof/>
        </w:rPr>
        <w:fldChar w:fldCharType="separate"/>
      </w:r>
      <w:r w:rsidRPr="00A20ACC">
        <w:rPr>
          <w:rFonts w:ascii="Times New Roman" w:hAnsi="Times New Roman"/>
          <w:noProof/>
        </w:rPr>
        <w:t>4</w:t>
      </w:r>
      <w:r w:rsidRPr="00A20ACC">
        <w:rPr>
          <w:rFonts w:ascii="Times New Roman" w:hAnsi="Times New Roman"/>
          <w:noProof/>
        </w:rPr>
        <w:fldChar w:fldCharType="end"/>
      </w: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noProof/>
        </w:rPr>
        <w:t>3.</w:t>
      </w:r>
      <w:r w:rsidRPr="00A20ACC">
        <w:rPr>
          <w:rFonts w:ascii="Times New Roman" w:hAnsi="Times New Roman"/>
          <w:b w:val="0"/>
          <w:noProof/>
          <w:lang w:eastAsia="ja-JP"/>
        </w:rPr>
        <w:tab/>
      </w:r>
      <w:r w:rsidR="00023A44">
        <w:rPr>
          <w:rFonts w:ascii="Times New Roman" w:hAnsi="Times New Roman"/>
          <w:noProof/>
        </w:rPr>
        <w:t>Tableau des actions et innovations</w:t>
      </w:r>
      <w:r w:rsidRPr="00A20ACC">
        <w:rPr>
          <w:rFonts w:ascii="Times New Roman" w:hAnsi="Times New Roman"/>
          <w:noProof/>
        </w:rPr>
        <w:tab/>
      </w:r>
      <w:r w:rsidR="00023A44">
        <w:rPr>
          <w:rFonts w:ascii="Times New Roman" w:hAnsi="Times New Roman"/>
          <w:noProof/>
        </w:rPr>
        <w:t>4</w:t>
      </w: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noProof/>
        </w:rPr>
        <w:t>4.</w:t>
      </w:r>
      <w:r w:rsidRPr="00A20ACC">
        <w:rPr>
          <w:rFonts w:ascii="Times New Roman" w:hAnsi="Times New Roman"/>
          <w:b w:val="0"/>
          <w:noProof/>
          <w:lang w:eastAsia="ja-JP"/>
        </w:rPr>
        <w:tab/>
      </w:r>
      <w:r w:rsidR="00023A44">
        <w:rPr>
          <w:rFonts w:ascii="Times New Roman" w:hAnsi="Times New Roman"/>
          <w:noProof/>
        </w:rPr>
        <w:t>Organisation et déroulement de l'atelier</w:t>
      </w:r>
      <w:r w:rsidRPr="00A20ACC">
        <w:rPr>
          <w:rFonts w:ascii="Times New Roman" w:hAnsi="Times New Roman"/>
          <w:noProof/>
        </w:rPr>
        <w:tab/>
      </w:r>
      <w:r w:rsidR="00023A44">
        <w:rPr>
          <w:rFonts w:ascii="Times New Roman" w:hAnsi="Times New Roman"/>
          <w:noProof/>
        </w:rPr>
        <w:t>4</w:t>
      </w: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noProof/>
        </w:rPr>
        <w:t>5.</w:t>
      </w:r>
      <w:r w:rsidRPr="00A20ACC">
        <w:rPr>
          <w:rFonts w:ascii="Times New Roman" w:hAnsi="Times New Roman"/>
          <w:b w:val="0"/>
          <w:noProof/>
          <w:lang w:eastAsia="ja-JP"/>
        </w:rPr>
        <w:tab/>
      </w:r>
      <w:r w:rsidR="00023A44">
        <w:rPr>
          <w:rFonts w:ascii="Times New Roman" w:hAnsi="Times New Roman"/>
          <w:noProof/>
        </w:rPr>
        <w:t>Participants à l'atelier</w:t>
      </w:r>
      <w:r w:rsidRPr="00A20ACC">
        <w:rPr>
          <w:rFonts w:ascii="Times New Roman" w:hAnsi="Times New Roman"/>
          <w:noProof/>
        </w:rPr>
        <w:tab/>
      </w:r>
      <w:r w:rsidR="00023A44">
        <w:rPr>
          <w:rFonts w:ascii="Times New Roman" w:hAnsi="Times New Roman"/>
          <w:noProof/>
        </w:rPr>
        <w:t>5</w:t>
      </w:r>
    </w:p>
    <w:p w:rsidR="007C3639" w:rsidRPr="00A20ACC" w:rsidRDefault="007C3639" w:rsidP="007C3639">
      <w:pPr>
        <w:pStyle w:val="TM1"/>
        <w:tabs>
          <w:tab w:val="left" w:pos="438"/>
          <w:tab w:val="right" w:leader="dot" w:pos="10456"/>
        </w:tabs>
        <w:spacing w:line="480" w:lineRule="auto"/>
        <w:rPr>
          <w:rFonts w:ascii="Times New Roman" w:hAnsi="Times New Roman"/>
          <w:b w:val="0"/>
          <w:noProof/>
          <w:lang w:eastAsia="ja-JP"/>
        </w:rPr>
      </w:pPr>
      <w:r w:rsidRPr="00A20ACC">
        <w:rPr>
          <w:rFonts w:ascii="Times New Roman" w:hAnsi="Times New Roman"/>
          <w:noProof/>
        </w:rPr>
        <w:t>6.</w:t>
      </w:r>
      <w:r w:rsidRPr="00A20ACC">
        <w:rPr>
          <w:rFonts w:ascii="Times New Roman" w:hAnsi="Times New Roman"/>
          <w:b w:val="0"/>
          <w:noProof/>
          <w:lang w:eastAsia="ja-JP"/>
        </w:rPr>
        <w:tab/>
      </w:r>
      <w:r w:rsidR="00023A44">
        <w:rPr>
          <w:rFonts w:ascii="Times New Roman" w:hAnsi="Times New Roman"/>
          <w:noProof/>
        </w:rPr>
        <w:t>Programme prévisionnel</w:t>
      </w:r>
      <w:r w:rsidRPr="00A20ACC">
        <w:rPr>
          <w:rFonts w:ascii="Times New Roman" w:hAnsi="Times New Roman"/>
          <w:noProof/>
        </w:rPr>
        <w:tab/>
      </w:r>
      <w:r w:rsidR="00023A44">
        <w:rPr>
          <w:rFonts w:ascii="Times New Roman" w:hAnsi="Times New Roman"/>
          <w:noProof/>
        </w:rPr>
        <w:t>6</w:t>
      </w:r>
    </w:p>
    <w:p w:rsidR="007C3639" w:rsidRPr="00A20ACC" w:rsidRDefault="007C3639" w:rsidP="007C3639">
      <w:pPr>
        <w:spacing w:line="480" w:lineRule="auto"/>
        <w:rPr>
          <w:rFonts w:ascii="Times New Roman" w:hAnsi="Times New Roman"/>
          <w:sz w:val="24"/>
          <w:szCs w:val="24"/>
        </w:rPr>
      </w:pPr>
      <w:r w:rsidRPr="00A20ACC">
        <w:rPr>
          <w:rFonts w:ascii="Times New Roman" w:hAnsi="Times New Roman"/>
          <w:b/>
          <w:bCs/>
          <w:noProof/>
          <w:sz w:val="24"/>
          <w:szCs w:val="24"/>
        </w:rPr>
        <w:fldChar w:fldCharType="end"/>
      </w:r>
    </w:p>
    <w:p w:rsidR="007C3639" w:rsidRPr="00A20ACC" w:rsidRDefault="007C3639" w:rsidP="007C3639">
      <w:pPr>
        <w:rPr>
          <w:rFonts w:ascii="Times New Roman" w:hAnsi="Times New Roman"/>
          <w:sz w:val="24"/>
          <w:szCs w:val="24"/>
        </w:rPr>
      </w:pPr>
    </w:p>
    <w:p w:rsidR="007C3639" w:rsidRPr="00A20ACC" w:rsidRDefault="007C3639" w:rsidP="007C3639">
      <w:pPr>
        <w:spacing w:after="120"/>
        <w:rPr>
          <w:rFonts w:ascii="Times New Roman" w:hAnsi="Times New Roman"/>
          <w:sz w:val="24"/>
          <w:szCs w:val="24"/>
        </w:rPr>
      </w:pPr>
      <w:r w:rsidRPr="00A20ACC">
        <w:rPr>
          <w:rFonts w:ascii="Times New Roman" w:hAnsi="Times New Roman"/>
          <w:sz w:val="24"/>
          <w:szCs w:val="24"/>
        </w:rPr>
        <w:br w:type="page"/>
      </w:r>
    </w:p>
    <w:p w:rsidR="007C3639" w:rsidRPr="00A20ACC" w:rsidRDefault="007C3639" w:rsidP="00023A44">
      <w:pPr>
        <w:pStyle w:val="Titre1"/>
        <w:numPr>
          <w:ilvl w:val="0"/>
          <w:numId w:val="11"/>
        </w:numPr>
        <w:spacing w:before="0" w:after="120"/>
        <w:rPr>
          <w:rFonts w:ascii="Times New Roman" w:hAnsi="Times New Roman"/>
          <w:color w:val="auto"/>
          <w:sz w:val="24"/>
          <w:szCs w:val="24"/>
        </w:rPr>
      </w:pPr>
      <w:bookmarkStart w:id="0" w:name="_Toc315801871"/>
      <w:r w:rsidRPr="00A20ACC">
        <w:rPr>
          <w:rFonts w:ascii="Times New Roman" w:hAnsi="Times New Roman"/>
          <w:color w:val="auto"/>
          <w:sz w:val="24"/>
          <w:szCs w:val="24"/>
        </w:rPr>
        <w:lastRenderedPageBreak/>
        <w:t>Contexte et justification</w:t>
      </w:r>
      <w:bookmarkEnd w:id="0"/>
    </w:p>
    <w:p w:rsidR="007C3639" w:rsidRPr="00A20ACC" w:rsidRDefault="007C3639" w:rsidP="007C3639">
      <w:pPr>
        <w:spacing w:after="120"/>
        <w:jc w:val="both"/>
        <w:rPr>
          <w:rFonts w:ascii="Times New Roman" w:hAnsi="Times New Roman"/>
          <w:sz w:val="24"/>
          <w:szCs w:val="24"/>
        </w:rPr>
      </w:pPr>
    </w:p>
    <w:p w:rsidR="00B1236D" w:rsidRPr="00A20ACC" w:rsidRDefault="00B1236D" w:rsidP="00A20ACC">
      <w:pPr>
        <w:shd w:val="clear" w:color="auto" w:fill="FFFFFF"/>
        <w:jc w:val="both"/>
        <w:rPr>
          <w:rFonts w:ascii="Times New Roman" w:hAnsi="Times New Roman"/>
          <w:color w:val="FF0000"/>
          <w:sz w:val="24"/>
          <w:szCs w:val="24"/>
        </w:rPr>
      </w:pPr>
      <w:r w:rsidRPr="00A20ACC">
        <w:rPr>
          <w:rFonts w:ascii="Times New Roman" w:hAnsi="Times New Roman"/>
          <w:sz w:val="24"/>
          <w:szCs w:val="24"/>
        </w:rPr>
        <w:t>Conçu en trois phases de quatre ans chacune, le PNDP est un prêt programme évolutif mis en place par le Gouvernement, avec l’appui des partenaires au développement. Il est un important outil de mise en œuvre du Document de Stratégie pour la Croissance et l’Emploi du Cameroun</w:t>
      </w:r>
      <w:r w:rsidRPr="00A20ACC">
        <w:rPr>
          <w:rFonts w:ascii="Times New Roman" w:hAnsi="Times New Roman"/>
          <w:color w:val="000000"/>
          <w:sz w:val="24"/>
          <w:szCs w:val="24"/>
        </w:rPr>
        <w:t xml:space="preserve"> (DSCE).</w:t>
      </w:r>
    </w:p>
    <w:p w:rsidR="00B1236D" w:rsidRPr="00A20ACC" w:rsidRDefault="00B1236D" w:rsidP="00B1236D">
      <w:pPr>
        <w:jc w:val="both"/>
        <w:rPr>
          <w:rFonts w:ascii="Times New Roman" w:hAnsi="Times New Roman"/>
          <w:sz w:val="24"/>
          <w:szCs w:val="24"/>
        </w:rPr>
      </w:pPr>
      <w:r w:rsidRPr="00A20ACC">
        <w:rPr>
          <w:rFonts w:ascii="Times New Roman" w:hAnsi="Times New Roman"/>
          <w:color w:val="000000"/>
          <w:sz w:val="24"/>
          <w:szCs w:val="24"/>
        </w:rPr>
        <w:t>Les deux premières phases du Programme</w:t>
      </w:r>
      <w:r w:rsidRPr="00A20ACC">
        <w:rPr>
          <w:rFonts w:ascii="Times New Roman" w:hAnsi="Times New Roman"/>
          <w:sz w:val="24"/>
          <w:szCs w:val="24"/>
        </w:rPr>
        <w:t xml:space="preserve"> ont été mises en œuvre grâce aux financements d’origine interne (PPTE, BIP) et ceux de la Banque Mondiale, de l’AFD dans le cadre de la remise de la dette bilatérale avec la France et d’un don de la KfW. À ces financements, s’ajoutent ceux du Fonds pour l’Environnement Mondial et de la Coopération nippone pour la phase 1 uniquement. Le Programme a couvert six Régions  (Adamaoua, Centre, Nord, Ouest, Sud et Extrême – Nord) pendant la 1</w:t>
      </w:r>
      <w:r w:rsidRPr="00A20ACC">
        <w:rPr>
          <w:rFonts w:ascii="Times New Roman" w:hAnsi="Times New Roman"/>
          <w:sz w:val="24"/>
          <w:szCs w:val="24"/>
          <w:vertAlign w:val="superscript"/>
        </w:rPr>
        <w:t>ère</w:t>
      </w:r>
      <w:r w:rsidRPr="00A20ACC">
        <w:rPr>
          <w:rFonts w:ascii="Times New Roman" w:hAnsi="Times New Roman"/>
          <w:sz w:val="24"/>
          <w:szCs w:val="24"/>
        </w:rPr>
        <w:t xml:space="preserve"> phase et s’est étendu à l’ensemble des 10 Régions dès la 2</w:t>
      </w:r>
      <w:r w:rsidRPr="00A20ACC">
        <w:rPr>
          <w:rFonts w:ascii="Times New Roman" w:hAnsi="Times New Roman"/>
          <w:sz w:val="24"/>
          <w:szCs w:val="24"/>
          <w:vertAlign w:val="superscript"/>
        </w:rPr>
        <w:t>ème</w:t>
      </w:r>
      <w:r w:rsidRPr="00A20ACC">
        <w:rPr>
          <w:rFonts w:ascii="Times New Roman" w:hAnsi="Times New Roman"/>
          <w:sz w:val="24"/>
          <w:szCs w:val="24"/>
        </w:rPr>
        <w:t xml:space="preserve"> phase. </w:t>
      </w:r>
    </w:p>
    <w:p w:rsidR="00B1236D" w:rsidRPr="00A20ACC" w:rsidRDefault="00B1236D" w:rsidP="00B1236D">
      <w:pPr>
        <w:jc w:val="both"/>
        <w:rPr>
          <w:rFonts w:ascii="Times New Roman" w:hAnsi="Times New Roman"/>
          <w:color w:val="000000"/>
          <w:sz w:val="24"/>
          <w:szCs w:val="24"/>
        </w:rPr>
      </w:pPr>
      <w:r w:rsidRPr="00A20ACC">
        <w:rPr>
          <w:rFonts w:ascii="Times New Roman" w:hAnsi="Times New Roman"/>
          <w:color w:val="000000"/>
          <w:sz w:val="24"/>
          <w:szCs w:val="24"/>
        </w:rPr>
        <w:t>Ces deux premières phases se sont déroulées à la satisfaction des populations bénéficiaires, des bailleurs de fonds et du gouvernement. Les résultats obtenus par le Programme à ce jour se présentent comme suit : (i) plus de 3 800 microprojets réalisés sur le plan socio-économique, ce qui a permis d’améliorer les conditions de vie de près de 2 000 000 de bénéficiaires directs, (ii) 328 Plans Communaux de Développement (PCD) élaborés et approuvés au niveau local par l’Autorité de tutelle. Le PCD est un outil de planification locale, d’aide aux transferts des compétences aux Communes, reconnu et utilisé depuis 2012 pour la préparation du Budget d’Investissement Public au niveau national, (iii) plus de 600 cadres recrutés par les communes, à raison de deux par commune, dont l’un chargé des aspects techniques et l’autre des finances. Ce recrutement a induit une a</w:t>
      </w:r>
      <w:r w:rsidRPr="00A20ACC">
        <w:rPr>
          <w:rFonts w:ascii="Times New Roman" w:hAnsi="Times New Roman"/>
          <w:bCs/>
          <w:color w:val="000000"/>
          <w:sz w:val="24"/>
          <w:szCs w:val="24"/>
        </w:rPr>
        <w:t xml:space="preserve">ugmentation du niveau de recouvrement des recettes propres de la commune. </w:t>
      </w:r>
      <w:r w:rsidRPr="00A20ACC">
        <w:rPr>
          <w:rFonts w:ascii="Times New Roman" w:hAnsi="Times New Roman"/>
          <w:color w:val="000000"/>
          <w:sz w:val="24"/>
          <w:szCs w:val="24"/>
        </w:rPr>
        <w:t xml:space="preserve"> </w:t>
      </w:r>
    </w:p>
    <w:p w:rsidR="00B1236D" w:rsidRPr="00A20ACC" w:rsidRDefault="00B1236D" w:rsidP="00B1236D">
      <w:pPr>
        <w:jc w:val="both"/>
        <w:rPr>
          <w:rFonts w:ascii="Times New Roman" w:hAnsi="Times New Roman"/>
          <w:sz w:val="24"/>
          <w:szCs w:val="24"/>
        </w:rPr>
      </w:pPr>
      <w:r w:rsidRPr="00A20ACC">
        <w:rPr>
          <w:rFonts w:ascii="Times New Roman" w:hAnsi="Times New Roman"/>
          <w:sz w:val="24"/>
          <w:szCs w:val="24"/>
        </w:rPr>
        <w:t>Avec la clôture du prêt sur Fonds IDA de la Banque mondiale, de nouvelles négociations ont été engagées pour un processus qui a abouti à la signature de l’Accord de crédit du PNDP III en date du 03 février 2016. L’objectif de cette 3</w:t>
      </w:r>
      <w:r w:rsidRPr="00A20ACC">
        <w:rPr>
          <w:rFonts w:ascii="Times New Roman" w:hAnsi="Times New Roman"/>
          <w:sz w:val="24"/>
          <w:szCs w:val="24"/>
          <w:vertAlign w:val="superscript"/>
        </w:rPr>
        <w:t>ème</w:t>
      </w:r>
      <w:r w:rsidRPr="00A20ACC">
        <w:rPr>
          <w:rFonts w:ascii="Times New Roman" w:hAnsi="Times New Roman"/>
          <w:sz w:val="24"/>
          <w:szCs w:val="24"/>
        </w:rPr>
        <w:t xml:space="preserve"> phase est de renforcer la gestion des finances publiques et des processus participatifs en vue de garantir la fourniture des infrastructures durables et de qualité. Elle se décline en trois composantes dont la 1</w:t>
      </w:r>
      <w:r w:rsidRPr="00A20ACC">
        <w:rPr>
          <w:rFonts w:ascii="Times New Roman" w:hAnsi="Times New Roman"/>
          <w:sz w:val="24"/>
          <w:szCs w:val="24"/>
          <w:vertAlign w:val="superscript"/>
        </w:rPr>
        <w:t>ère</w:t>
      </w:r>
      <w:r w:rsidRPr="00A20ACC">
        <w:rPr>
          <w:rFonts w:ascii="Times New Roman" w:hAnsi="Times New Roman"/>
          <w:sz w:val="24"/>
          <w:szCs w:val="24"/>
        </w:rPr>
        <w:t xml:space="preserve"> porte sur l’appui au développement local, la 2</w:t>
      </w:r>
      <w:r w:rsidRPr="00A20ACC">
        <w:rPr>
          <w:rFonts w:ascii="Times New Roman" w:hAnsi="Times New Roman"/>
          <w:sz w:val="24"/>
          <w:szCs w:val="24"/>
          <w:vertAlign w:val="superscript"/>
        </w:rPr>
        <w:t>ème</w:t>
      </w:r>
      <w:r w:rsidRPr="00A20ACC">
        <w:rPr>
          <w:rFonts w:ascii="Times New Roman" w:hAnsi="Times New Roman"/>
          <w:sz w:val="24"/>
          <w:szCs w:val="24"/>
        </w:rPr>
        <w:t xml:space="preserve"> sur l’appui institutionnel et le renforcement des capacités, et la 3</w:t>
      </w:r>
      <w:r w:rsidRPr="00A20ACC">
        <w:rPr>
          <w:rFonts w:ascii="Times New Roman" w:hAnsi="Times New Roman"/>
          <w:sz w:val="24"/>
          <w:szCs w:val="24"/>
          <w:vertAlign w:val="superscript"/>
        </w:rPr>
        <w:t>ème</w:t>
      </w:r>
      <w:r w:rsidRPr="00A20ACC">
        <w:rPr>
          <w:rFonts w:ascii="Times New Roman" w:hAnsi="Times New Roman"/>
          <w:sz w:val="24"/>
          <w:szCs w:val="24"/>
        </w:rPr>
        <w:t xml:space="preserve"> sur la coordination, la gestion, le suivi-évaluation et la communication.  </w:t>
      </w:r>
    </w:p>
    <w:p w:rsidR="00B1236D" w:rsidRPr="00A20ACC" w:rsidRDefault="00B1236D" w:rsidP="00B1236D">
      <w:pPr>
        <w:shd w:val="clear" w:color="auto" w:fill="FFFFFF"/>
        <w:jc w:val="both"/>
        <w:rPr>
          <w:rFonts w:ascii="Times New Roman" w:hAnsi="Times New Roman"/>
          <w:color w:val="000000"/>
          <w:sz w:val="24"/>
          <w:szCs w:val="24"/>
        </w:rPr>
      </w:pPr>
      <w:r w:rsidRPr="00A20ACC">
        <w:rPr>
          <w:rFonts w:ascii="Times New Roman" w:hAnsi="Times New Roman"/>
          <w:sz w:val="24"/>
          <w:szCs w:val="24"/>
        </w:rPr>
        <w:t>Outre son extension à l’ensemble des 360 communes que compte le Cameroun, la 3</w:t>
      </w:r>
      <w:r w:rsidRPr="00A20ACC">
        <w:rPr>
          <w:rFonts w:ascii="Times New Roman" w:hAnsi="Times New Roman"/>
          <w:sz w:val="24"/>
          <w:szCs w:val="24"/>
          <w:vertAlign w:val="superscript"/>
        </w:rPr>
        <w:t>ème</w:t>
      </w:r>
      <w:r w:rsidRPr="00A20ACC">
        <w:rPr>
          <w:rFonts w:ascii="Times New Roman" w:hAnsi="Times New Roman"/>
          <w:sz w:val="24"/>
          <w:szCs w:val="24"/>
        </w:rPr>
        <w:t xml:space="preserve"> phase, dite phase de consolidation, concentrera plus de financement en faveur des Communes des Régions septentrionales et de l’Est, confrontées à la pauvreté, à l’insécurité et à l’afflux des réfugiés. En effet, il est leur est réservé sans contrepartie, 48% des fonds de la composante 1. Une autre innovation concerne l’introduction de deux guichets de financement des microprojets : le guichet équité et le guichet performance. Si le 1</w:t>
      </w:r>
      <w:r w:rsidRPr="00A20ACC">
        <w:rPr>
          <w:rFonts w:ascii="Times New Roman" w:hAnsi="Times New Roman"/>
          <w:sz w:val="24"/>
          <w:szCs w:val="24"/>
          <w:vertAlign w:val="superscript"/>
        </w:rPr>
        <w:t>er</w:t>
      </w:r>
      <w:r w:rsidRPr="00A20ACC">
        <w:rPr>
          <w:rFonts w:ascii="Times New Roman" w:hAnsi="Times New Roman"/>
          <w:sz w:val="24"/>
          <w:szCs w:val="24"/>
        </w:rPr>
        <w:t xml:space="preserve"> sert les allocations aux Communes sur la base des critères sociaux, le 2</w:t>
      </w:r>
      <w:r w:rsidRPr="00A20ACC">
        <w:rPr>
          <w:rFonts w:ascii="Times New Roman" w:hAnsi="Times New Roman"/>
          <w:sz w:val="24"/>
          <w:szCs w:val="24"/>
          <w:vertAlign w:val="superscript"/>
        </w:rPr>
        <w:t>ème</w:t>
      </w:r>
      <w:r w:rsidRPr="00A20ACC">
        <w:rPr>
          <w:rFonts w:ascii="Times New Roman" w:hAnsi="Times New Roman"/>
          <w:sz w:val="24"/>
          <w:szCs w:val="24"/>
        </w:rPr>
        <w:t xml:space="preserve"> s’appuie sur les critères sélectifs liés à la transparence, la </w:t>
      </w:r>
      <w:proofErr w:type="spellStart"/>
      <w:r w:rsidRPr="00A20ACC">
        <w:rPr>
          <w:rFonts w:ascii="Times New Roman" w:hAnsi="Times New Roman"/>
          <w:sz w:val="24"/>
          <w:szCs w:val="24"/>
        </w:rPr>
        <w:t>redevabilité</w:t>
      </w:r>
      <w:proofErr w:type="spellEnd"/>
      <w:r w:rsidRPr="00A20ACC">
        <w:rPr>
          <w:rFonts w:ascii="Times New Roman" w:hAnsi="Times New Roman"/>
          <w:sz w:val="24"/>
          <w:szCs w:val="24"/>
        </w:rPr>
        <w:t xml:space="preserve"> et l’appropriation de la démarche participative promue par le PNDP. La 3</w:t>
      </w:r>
      <w:r w:rsidRPr="00A20ACC">
        <w:rPr>
          <w:rFonts w:ascii="Times New Roman" w:hAnsi="Times New Roman"/>
          <w:sz w:val="24"/>
          <w:szCs w:val="24"/>
          <w:vertAlign w:val="superscript"/>
        </w:rPr>
        <w:t>ème</w:t>
      </w:r>
      <w:r w:rsidRPr="00A20ACC">
        <w:rPr>
          <w:rFonts w:ascii="Times New Roman" w:hAnsi="Times New Roman"/>
          <w:sz w:val="24"/>
          <w:szCs w:val="24"/>
        </w:rPr>
        <w:t xml:space="preserve"> phase se distingue également des autres, par la mise en place </w:t>
      </w:r>
      <w:r w:rsidRPr="00A20ACC">
        <w:rPr>
          <w:rFonts w:ascii="Times New Roman" w:hAnsi="Times New Roman"/>
          <w:color w:val="000000"/>
          <w:sz w:val="24"/>
          <w:szCs w:val="24"/>
        </w:rPr>
        <w:t>d’un mécanisme de gestion des plaintes au sein du Programme.</w:t>
      </w:r>
    </w:p>
    <w:p w:rsidR="00B1236D" w:rsidRPr="00A20ACC" w:rsidRDefault="00B1236D" w:rsidP="00B1236D">
      <w:pPr>
        <w:shd w:val="clear" w:color="auto" w:fill="FFFFFF"/>
        <w:jc w:val="both"/>
        <w:rPr>
          <w:rFonts w:ascii="Times New Roman" w:hAnsi="Times New Roman"/>
          <w:sz w:val="24"/>
          <w:szCs w:val="24"/>
        </w:rPr>
      </w:pPr>
      <w:r w:rsidRPr="00A20ACC">
        <w:rPr>
          <w:rFonts w:ascii="Times New Roman" w:hAnsi="Times New Roman"/>
          <w:sz w:val="24"/>
          <w:szCs w:val="24"/>
        </w:rPr>
        <w:t xml:space="preserve">À travers ces innovations, le Programme voudrait maximiser son impact </w:t>
      </w:r>
      <w:r w:rsidR="00A20ACC">
        <w:rPr>
          <w:rFonts w:ascii="Times New Roman" w:hAnsi="Times New Roman"/>
          <w:sz w:val="24"/>
          <w:szCs w:val="24"/>
        </w:rPr>
        <w:t xml:space="preserve">dans le chantier du développement local afin d’en arriver à une plus grande </w:t>
      </w:r>
      <w:r w:rsidR="0040793A">
        <w:rPr>
          <w:rFonts w:ascii="Times New Roman" w:hAnsi="Times New Roman"/>
          <w:sz w:val="24"/>
          <w:szCs w:val="24"/>
        </w:rPr>
        <w:t xml:space="preserve">et large </w:t>
      </w:r>
      <w:r w:rsidRPr="00A20ACC">
        <w:rPr>
          <w:rFonts w:ascii="Times New Roman" w:hAnsi="Times New Roman"/>
          <w:sz w:val="24"/>
          <w:szCs w:val="24"/>
        </w:rPr>
        <w:t xml:space="preserve">autonomisation des Communes et la mise en place d’une fonction publique communale. </w:t>
      </w:r>
    </w:p>
    <w:p w:rsidR="00B1236D" w:rsidRPr="00A20ACC" w:rsidRDefault="00B1236D" w:rsidP="00B1236D">
      <w:pPr>
        <w:shd w:val="clear" w:color="auto" w:fill="FFFFFF"/>
        <w:jc w:val="both"/>
        <w:rPr>
          <w:rFonts w:ascii="Times New Roman" w:hAnsi="Times New Roman"/>
          <w:sz w:val="24"/>
          <w:szCs w:val="24"/>
        </w:rPr>
      </w:pPr>
      <w:r w:rsidRPr="00A20ACC">
        <w:rPr>
          <w:rFonts w:ascii="Times New Roman" w:hAnsi="Times New Roman"/>
          <w:sz w:val="24"/>
          <w:szCs w:val="24"/>
        </w:rPr>
        <w:t>C’est dans l’optique de procéder au lancement de cette 3</w:t>
      </w:r>
      <w:r w:rsidRPr="00A20ACC">
        <w:rPr>
          <w:rFonts w:ascii="Times New Roman" w:hAnsi="Times New Roman"/>
          <w:sz w:val="24"/>
          <w:szCs w:val="24"/>
          <w:vertAlign w:val="superscript"/>
        </w:rPr>
        <w:t>ème</w:t>
      </w:r>
      <w:r w:rsidRPr="00A20ACC">
        <w:rPr>
          <w:rFonts w:ascii="Times New Roman" w:hAnsi="Times New Roman"/>
          <w:sz w:val="24"/>
          <w:szCs w:val="24"/>
        </w:rPr>
        <w:t xml:space="preserve"> phase qu’un atelier est envisagé du 10 au 11 mai 2016 sous le thème général : « Vers la pérennisation des acquis du Programme ». </w:t>
      </w:r>
    </w:p>
    <w:p w:rsidR="00B1236D" w:rsidRPr="00F3095C" w:rsidRDefault="00B1236D" w:rsidP="00B1236D">
      <w:pPr>
        <w:pStyle w:val="Titre3"/>
        <w:pBdr>
          <w:bottom w:val="single" w:sz="4" w:space="1" w:color="auto"/>
        </w:pBdr>
        <w:spacing w:after="240"/>
        <w:jc w:val="both"/>
        <w:rPr>
          <w:rFonts w:ascii="Times New Roman" w:hAnsi="Times New Roman" w:cs="Times New Roman"/>
          <w:color w:val="auto"/>
          <w:sz w:val="24"/>
          <w:szCs w:val="24"/>
        </w:rPr>
      </w:pPr>
      <w:r w:rsidRPr="00F3095C">
        <w:rPr>
          <w:rFonts w:ascii="Times New Roman" w:hAnsi="Times New Roman" w:cs="Times New Roman"/>
          <w:color w:val="auto"/>
          <w:sz w:val="24"/>
          <w:szCs w:val="24"/>
        </w:rPr>
        <w:lastRenderedPageBreak/>
        <w:t>II. Objectifs de l’Atelier de Lancement</w:t>
      </w:r>
    </w:p>
    <w:p w:rsidR="00B1236D" w:rsidRPr="00A20ACC" w:rsidRDefault="00B1236D" w:rsidP="00B1236D">
      <w:pPr>
        <w:pStyle w:val="NormalWeb"/>
        <w:spacing w:before="0" w:beforeAutospacing="0" w:after="0" w:afterAutospacing="0"/>
        <w:jc w:val="both"/>
        <w:rPr>
          <w:color w:val="000000"/>
        </w:rPr>
      </w:pPr>
      <w:r w:rsidRPr="00A20ACC">
        <w:rPr>
          <w:color w:val="000000"/>
        </w:rPr>
        <w:t>L’objectif global de cet atelier est de procéder au lancement officiel de la 3</w:t>
      </w:r>
      <w:r w:rsidRPr="00A20ACC">
        <w:rPr>
          <w:color w:val="000000"/>
          <w:vertAlign w:val="superscript"/>
        </w:rPr>
        <w:t>ème</w:t>
      </w:r>
      <w:r w:rsidRPr="00A20ACC">
        <w:rPr>
          <w:color w:val="000000"/>
        </w:rPr>
        <w:t xml:space="preserve"> phase du PNDP. Plus spécifiquement, il est question de :</w:t>
      </w:r>
    </w:p>
    <w:p w:rsidR="00B1236D" w:rsidRPr="00A20ACC" w:rsidRDefault="00B1236D" w:rsidP="00B1236D">
      <w:pPr>
        <w:pStyle w:val="NormalWeb"/>
        <w:numPr>
          <w:ilvl w:val="0"/>
          <w:numId w:val="7"/>
        </w:numPr>
        <w:spacing w:before="0" w:beforeAutospacing="0" w:after="0" w:afterAutospacing="0"/>
        <w:jc w:val="both"/>
        <w:rPr>
          <w:color w:val="000000"/>
        </w:rPr>
      </w:pPr>
      <w:r w:rsidRPr="00A20ACC">
        <w:rPr>
          <w:color w:val="000000"/>
        </w:rPr>
        <w:t xml:space="preserve">communiquer </w:t>
      </w:r>
      <w:r w:rsidR="00A20ACC" w:rsidRPr="00A20ACC">
        <w:rPr>
          <w:color w:val="000000"/>
        </w:rPr>
        <w:t>sur le bilan du PNDP</w:t>
      </w:r>
      <w:r w:rsidR="00A20ACC">
        <w:rPr>
          <w:color w:val="000000"/>
        </w:rPr>
        <w:t xml:space="preserve"> en direction du</w:t>
      </w:r>
      <w:r w:rsidR="00A20ACC" w:rsidRPr="00A20ACC">
        <w:rPr>
          <w:color w:val="000000"/>
        </w:rPr>
        <w:t xml:space="preserve"> </w:t>
      </w:r>
      <w:r w:rsidRPr="00A20ACC">
        <w:rPr>
          <w:color w:val="000000"/>
        </w:rPr>
        <w:t xml:space="preserve">grand public, </w:t>
      </w:r>
      <w:r w:rsidR="00A20ACC">
        <w:rPr>
          <w:color w:val="000000"/>
        </w:rPr>
        <w:t>des</w:t>
      </w:r>
      <w:r w:rsidRPr="00A20ACC">
        <w:rPr>
          <w:color w:val="000000"/>
        </w:rPr>
        <w:t xml:space="preserve"> Maires et </w:t>
      </w:r>
      <w:r w:rsidR="00A20ACC">
        <w:rPr>
          <w:color w:val="000000"/>
        </w:rPr>
        <w:t>des</w:t>
      </w:r>
      <w:r w:rsidRPr="00A20ACC">
        <w:rPr>
          <w:color w:val="000000"/>
        </w:rPr>
        <w:t xml:space="preserve"> partenaires techniques et financiers du </w:t>
      </w:r>
      <w:r w:rsidR="00A20ACC">
        <w:rPr>
          <w:color w:val="000000"/>
        </w:rPr>
        <w:t>Programme</w:t>
      </w:r>
      <w:r w:rsidRPr="00A20ACC">
        <w:rPr>
          <w:color w:val="000000"/>
        </w:rPr>
        <w:t xml:space="preserve"> ; </w:t>
      </w:r>
    </w:p>
    <w:p w:rsidR="00B1236D" w:rsidRPr="00A20ACC" w:rsidRDefault="00B1236D" w:rsidP="00B1236D">
      <w:pPr>
        <w:pStyle w:val="NormalWeb"/>
        <w:numPr>
          <w:ilvl w:val="0"/>
          <w:numId w:val="7"/>
        </w:numPr>
        <w:jc w:val="both"/>
        <w:rPr>
          <w:color w:val="000000"/>
        </w:rPr>
      </w:pPr>
      <w:r w:rsidRPr="00A20ACC">
        <w:rPr>
          <w:color w:val="000000"/>
        </w:rPr>
        <w:t>présenter le PNDP III et ses innovations majeures en vue d’améliorer l’appropriation du Programme par les bénéficiaires ;</w:t>
      </w:r>
    </w:p>
    <w:p w:rsidR="00B1236D" w:rsidRDefault="00B1236D" w:rsidP="00B1236D">
      <w:pPr>
        <w:pStyle w:val="NormalWeb"/>
        <w:numPr>
          <w:ilvl w:val="0"/>
          <w:numId w:val="7"/>
        </w:numPr>
        <w:jc w:val="both"/>
        <w:rPr>
          <w:color w:val="000000"/>
        </w:rPr>
      </w:pPr>
      <w:r w:rsidRPr="00A20ACC">
        <w:rPr>
          <w:color w:val="000000"/>
        </w:rPr>
        <w:t xml:space="preserve">recueillir les commentaires et suggestions des partenaires et bénéficiaires en vue d’améliorer la mise en œuvre du Programme. </w:t>
      </w:r>
    </w:p>
    <w:p w:rsidR="00F3095C" w:rsidRPr="00F3095C" w:rsidRDefault="00F3095C" w:rsidP="00F3095C">
      <w:pPr>
        <w:pStyle w:val="Titre3"/>
        <w:pBdr>
          <w:bottom w:val="single" w:sz="4" w:space="1" w:color="auto"/>
        </w:pBdr>
        <w:spacing w:after="240"/>
        <w:jc w:val="both"/>
        <w:rPr>
          <w:rFonts w:ascii="Times New Roman" w:hAnsi="Times New Roman" w:cs="Times New Roman"/>
          <w:color w:val="auto"/>
          <w:sz w:val="24"/>
          <w:szCs w:val="24"/>
        </w:rPr>
      </w:pPr>
      <w:r w:rsidRPr="00F3095C">
        <w:rPr>
          <w:rFonts w:ascii="Times New Roman" w:hAnsi="Times New Roman" w:cs="Times New Roman"/>
          <w:color w:val="auto"/>
          <w:sz w:val="24"/>
          <w:szCs w:val="24"/>
        </w:rPr>
        <w:t>II</w:t>
      </w:r>
      <w:r w:rsidR="00023A44">
        <w:rPr>
          <w:rFonts w:ascii="Times New Roman" w:hAnsi="Times New Roman" w:cs="Times New Roman"/>
          <w:color w:val="auto"/>
          <w:sz w:val="24"/>
          <w:szCs w:val="24"/>
        </w:rPr>
        <w:t>I</w:t>
      </w:r>
      <w:r w:rsidRPr="00F3095C">
        <w:rPr>
          <w:rFonts w:ascii="Times New Roman" w:hAnsi="Times New Roman" w:cs="Times New Roman"/>
          <w:color w:val="auto"/>
          <w:sz w:val="24"/>
          <w:szCs w:val="24"/>
        </w:rPr>
        <w:t xml:space="preserve">. </w:t>
      </w:r>
      <w:r>
        <w:rPr>
          <w:rFonts w:ascii="Times New Roman" w:hAnsi="Times New Roman" w:cs="Times New Roman"/>
          <w:color w:val="auto"/>
          <w:sz w:val="24"/>
          <w:szCs w:val="24"/>
        </w:rPr>
        <w:t>Tableau des actions et innovations du PNDP</w:t>
      </w:r>
    </w:p>
    <w:tbl>
      <w:tblPr>
        <w:tblStyle w:val="Grilledutableau"/>
        <w:tblW w:w="0" w:type="auto"/>
        <w:tblLook w:val="04A0"/>
      </w:tblPr>
      <w:tblGrid>
        <w:gridCol w:w="3535"/>
        <w:gridCol w:w="3535"/>
        <w:gridCol w:w="3536"/>
      </w:tblGrid>
      <w:tr w:rsidR="00304B88" w:rsidTr="00872768">
        <w:tc>
          <w:tcPr>
            <w:tcW w:w="3535" w:type="dxa"/>
          </w:tcPr>
          <w:p w:rsidR="00304B88" w:rsidRPr="00304B88" w:rsidRDefault="00304B88" w:rsidP="00F3095C">
            <w:pPr>
              <w:pStyle w:val="NormalWeb"/>
              <w:jc w:val="both"/>
              <w:rPr>
                <w:b/>
                <w:color w:val="000000"/>
                <w:sz w:val="28"/>
                <w:szCs w:val="28"/>
              </w:rPr>
            </w:pPr>
            <w:r w:rsidRPr="00304B88">
              <w:rPr>
                <w:b/>
                <w:color w:val="000000"/>
                <w:sz w:val="28"/>
                <w:szCs w:val="28"/>
              </w:rPr>
              <w:t>Actions et innovations</w:t>
            </w:r>
          </w:p>
        </w:tc>
        <w:tc>
          <w:tcPr>
            <w:tcW w:w="7071" w:type="dxa"/>
            <w:gridSpan w:val="2"/>
          </w:tcPr>
          <w:p w:rsidR="00304B88" w:rsidRPr="00304B88" w:rsidRDefault="00304B88" w:rsidP="00304B88">
            <w:pPr>
              <w:pStyle w:val="NormalWeb"/>
              <w:tabs>
                <w:tab w:val="left" w:pos="2760"/>
                <w:tab w:val="center" w:pos="3427"/>
              </w:tabs>
              <w:rPr>
                <w:b/>
                <w:color w:val="000000"/>
                <w:sz w:val="28"/>
                <w:szCs w:val="28"/>
              </w:rPr>
            </w:pPr>
            <w:r w:rsidRPr="00304B88">
              <w:rPr>
                <w:b/>
                <w:color w:val="000000"/>
                <w:sz w:val="28"/>
                <w:szCs w:val="28"/>
              </w:rPr>
              <w:tab/>
            </w:r>
            <w:r w:rsidRPr="00304B88">
              <w:rPr>
                <w:b/>
                <w:color w:val="000000"/>
                <w:sz w:val="28"/>
                <w:szCs w:val="28"/>
              </w:rPr>
              <w:tab/>
              <w:t>Spécificités</w:t>
            </w:r>
          </w:p>
        </w:tc>
      </w:tr>
      <w:tr w:rsidR="00304B88" w:rsidTr="00304B88">
        <w:tc>
          <w:tcPr>
            <w:tcW w:w="3535" w:type="dxa"/>
            <w:vMerge w:val="restart"/>
          </w:tcPr>
          <w:p w:rsidR="00304B88" w:rsidRDefault="00304B88" w:rsidP="00F3095C">
            <w:pPr>
              <w:pStyle w:val="NormalWeb"/>
              <w:jc w:val="both"/>
              <w:rPr>
                <w:color w:val="000000"/>
              </w:rPr>
            </w:pPr>
            <w:r>
              <w:rPr>
                <w:color w:val="000000"/>
              </w:rPr>
              <w:t>Extension aux 31 communes d’arrondissement</w:t>
            </w:r>
          </w:p>
        </w:tc>
        <w:tc>
          <w:tcPr>
            <w:tcW w:w="3535" w:type="dxa"/>
          </w:tcPr>
          <w:p w:rsidR="00304B88" w:rsidRDefault="00304B88" w:rsidP="00F3095C">
            <w:pPr>
              <w:pStyle w:val="NormalWeb"/>
              <w:jc w:val="both"/>
              <w:rPr>
                <w:color w:val="000000"/>
              </w:rPr>
            </w:pPr>
            <w:r>
              <w:rPr>
                <w:color w:val="000000"/>
              </w:rPr>
              <w:t>Centre</w:t>
            </w:r>
          </w:p>
        </w:tc>
        <w:tc>
          <w:tcPr>
            <w:tcW w:w="3536" w:type="dxa"/>
          </w:tcPr>
          <w:p w:rsidR="00304B88" w:rsidRDefault="00304B88" w:rsidP="00F3095C">
            <w:pPr>
              <w:pStyle w:val="NormalWeb"/>
              <w:jc w:val="both"/>
              <w:rPr>
                <w:color w:val="000000"/>
              </w:rPr>
            </w:pPr>
            <w:r>
              <w:rPr>
                <w:color w:val="000000"/>
              </w:rPr>
              <w:t>Yaoundé 1, 2, 3, 4, 5, 6</w:t>
            </w:r>
          </w:p>
        </w:tc>
      </w:tr>
      <w:tr w:rsidR="00304B88" w:rsidTr="00304B88">
        <w:tc>
          <w:tcPr>
            <w:tcW w:w="3535" w:type="dxa"/>
            <w:vMerge/>
          </w:tcPr>
          <w:p w:rsidR="00304B88" w:rsidRDefault="00304B88" w:rsidP="00F3095C">
            <w:pPr>
              <w:pStyle w:val="NormalWeb"/>
              <w:jc w:val="both"/>
              <w:rPr>
                <w:color w:val="000000"/>
              </w:rPr>
            </w:pPr>
          </w:p>
        </w:tc>
        <w:tc>
          <w:tcPr>
            <w:tcW w:w="3535" w:type="dxa"/>
          </w:tcPr>
          <w:p w:rsidR="00304B88" w:rsidRDefault="00304B88" w:rsidP="00F3095C">
            <w:pPr>
              <w:pStyle w:val="NormalWeb"/>
              <w:jc w:val="both"/>
              <w:rPr>
                <w:color w:val="000000"/>
              </w:rPr>
            </w:pPr>
            <w:r>
              <w:rPr>
                <w:color w:val="000000"/>
              </w:rPr>
              <w:t>Est</w:t>
            </w:r>
          </w:p>
        </w:tc>
        <w:tc>
          <w:tcPr>
            <w:tcW w:w="3536" w:type="dxa"/>
          </w:tcPr>
          <w:p w:rsidR="00304B88" w:rsidRDefault="00304B88" w:rsidP="00F3095C">
            <w:pPr>
              <w:pStyle w:val="NormalWeb"/>
              <w:jc w:val="both"/>
              <w:rPr>
                <w:color w:val="000000"/>
              </w:rPr>
            </w:pPr>
            <w:r>
              <w:rPr>
                <w:color w:val="000000"/>
              </w:rPr>
              <w:t>Bertoua 1, 2, 3</w:t>
            </w:r>
          </w:p>
        </w:tc>
      </w:tr>
      <w:tr w:rsidR="00304B88" w:rsidTr="00304B88">
        <w:tc>
          <w:tcPr>
            <w:tcW w:w="3535" w:type="dxa"/>
            <w:vMerge/>
          </w:tcPr>
          <w:p w:rsidR="00304B88" w:rsidRDefault="00304B88" w:rsidP="00F3095C">
            <w:pPr>
              <w:pStyle w:val="NormalWeb"/>
              <w:jc w:val="both"/>
              <w:rPr>
                <w:color w:val="000000"/>
              </w:rPr>
            </w:pPr>
          </w:p>
        </w:tc>
        <w:tc>
          <w:tcPr>
            <w:tcW w:w="3535" w:type="dxa"/>
            <w:vMerge w:val="restart"/>
          </w:tcPr>
          <w:p w:rsidR="00304B88" w:rsidRDefault="00304B88" w:rsidP="00F3095C">
            <w:pPr>
              <w:pStyle w:val="NormalWeb"/>
              <w:jc w:val="both"/>
              <w:rPr>
                <w:color w:val="000000"/>
              </w:rPr>
            </w:pPr>
            <w:r>
              <w:rPr>
                <w:color w:val="000000"/>
              </w:rPr>
              <w:t>Sud</w:t>
            </w:r>
          </w:p>
        </w:tc>
        <w:tc>
          <w:tcPr>
            <w:tcW w:w="3536" w:type="dxa"/>
          </w:tcPr>
          <w:p w:rsidR="00304B88" w:rsidRDefault="00304B88" w:rsidP="00F3095C">
            <w:pPr>
              <w:pStyle w:val="NormalWeb"/>
              <w:jc w:val="both"/>
              <w:rPr>
                <w:color w:val="000000"/>
              </w:rPr>
            </w:pPr>
            <w:proofErr w:type="spellStart"/>
            <w:r>
              <w:rPr>
                <w:color w:val="000000"/>
              </w:rPr>
              <w:t>Ebolowa</w:t>
            </w:r>
            <w:proofErr w:type="spellEnd"/>
            <w:r>
              <w:rPr>
                <w:color w:val="000000"/>
              </w:rPr>
              <w:t xml:space="preserve"> 1, 2</w:t>
            </w:r>
          </w:p>
        </w:tc>
      </w:tr>
      <w:tr w:rsidR="00304B88" w:rsidTr="00304B88">
        <w:tc>
          <w:tcPr>
            <w:tcW w:w="3535" w:type="dxa"/>
            <w:vMerge/>
          </w:tcPr>
          <w:p w:rsidR="00304B88" w:rsidRDefault="00304B88" w:rsidP="00F3095C">
            <w:pPr>
              <w:pStyle w:val="NormalWeb"/>
              <w:jc w:val="both"/>
              <w:rPr>
                <w:color w:val="000000"/>
              </w:rPr>
            </w:pPr>
          </w:p>
        </w:tc>
        <w:tc>
          <w:tcPr>
            <w:tcW w:w="3535" w:type="dxa"/>
            <w:vMerge/>
          </w:tcPr>
          <w:p w:rsidR="00304B88" w:rsidRDefault="00304B88" w:rsidP="00F3095C">
            <w:pPr>
              <w:pStyle w:val="NormalWeb"/>
              <w:jc w:val="both"/>
              <w:rPr>
                <w:color w:val="000000"/>
              </w:rPr>
            </w:pPr>
          </w:p>
        </w:tc>
        <w:tc>
          <w:tcPr>
            <w:tcW w:w="3536" w:type="dxa"/>
          </w:tcPr>
          <w:p w:rsidR="00304B88" w:rsidRDefault="00304B88" w:rsidP="00F3095C">
            <w:pPr>
              <w:pStyle w:val="NormalWeb"/>
              <w:jc w:val="both"/>
              <w:rPr>
                <w:color w:val="000000"/>
              </w:rPr>
            </w:pPr>
            <w:r>
              <w:rPr>
                <w:color w:val="000000"/>
              </w:rPr>
              <w:t>Kribi 1, 2</w:t>
            </w:r>
          </w:p>
        </w:tc>
      </w:tr>
      <w:tr w:rsidR="00304B88" w:rsidTr="00304B88">
        <w:tc>
          <w:tcPr>
            <w:tcW w:w="3535" w:type="dxa"/>
            <w:vMerge/>
          </w:tcPr>
          <w:p w:rsidR="00304B88" w:rsidRDefault="00304B88" w:rsidP="00F3095C">
            <w:pPr>
              <w:pStyle w:val="NormalWeb"/>
              <w:jc w:val="both"/>
              <w:rPr>
                <w:color w:val="000000"/>
              </w:rPr>
            </w:pPr>
          </w:p>
        </w:tc>
        <w:tc>
          <w:tcPr>
            <w:tcW w:w="3535" w:type="dxa"/>
          </w:tcPr>
          <w:p w:rsidR="00304B88" w:rsidRDefault="00304B88" w:rsidP="00F3095C">
            <w:pPr>
              <w:pStyle w:val="NormalWeb"/>
              <w:jc w:val="both"/>
              <w:rPr>
                <w:color w:val="000000"/>
              </w:rPr>
            </w:pPr>
            <w:r>
              <w:rPr>
                <w:color w:val="000000"/>
              </w:rPr>
              <w:t>Nord-ouest</w:t>
            </w:r>
          </w:p>
        </w:tc>
        <w:tc>
          <w:tcPr>
            <w:tcW w:w="3536" w:type="dxa"/>
          </w:tcPr>
          <w:p w:rsidR="00304B88" w:rsidRDefault="00304B88" w:rsidP="00F3095C">
            <w:pPr>
              <w:pStyle w:val="NormalWeb"/>
              <w:jc w:val="both"/>
              <w:rPr>
                <w:color w:val="000000"/>
              </w:rPr>
            </w:pPr>
            <w:r>
              <w:rPr>
                <w:color w:val="000000"/>
              </w:rPr>
              <w:t>Bamenda 1, 2, 3</w:t>
            </w:r>
          </w:p>
        </w:tc>
      </w:tr>
      <w:tr w:rsidR="00304B88" w:rsidTr="00304B88">
        <w:tc>
          <w:tcPr>
            <w:tcW w:w="3535" w:type="dxa"/>
            <w:vMerge/>
          </w:tcPr>
          <w:p w:rsidR="00304B88" w:rsidRDefault="00304B88" w:rsidP="00F3095C">
            <w:pPr>
              <w:pStyle w:val="NormalWeb"/>
              <w:jc w:val="both"/>
              <w:rPr>
                <w:color w:val="000000"/>
              </w:rPr>
            </w:pPr>
          </w:p>
        </w:tc>
        <w:tc>
          <w:tcPr>
            <w:tcW w:w="3535" w:type="dxa"/>
            <w:vMerge w:val="restart"/>
          </w:tcPr>
          <w:p w:rsidR="00304B88" w:rsidRDefault="00304B88" w:rsidP="00F3095C">
            <w:pPr>
              <w:pStyle w:val="NormalWeb"/>
              <w:jc w:val="both"/>
              <w:rPr>
                <w:color w:val="000000"/>
              </w:rPr>
            </w:pPr>
            <w:r>
              <w:rPr>
                <w:color w:val="000000"/>
              </w:rPr>
              <w:t>Sud-ouest</w:t>
            </w:r>
          </w:p>
        </w:tc>
        <w:tc>
          <w:tcPr>
            <w:tcW w:w="3536" w:type="dxa"/>
          </w:tcPr>
          <w:p w:rsidR="00304B88" w:rsidRDefault="00304B88" w:rsidP="00F3095C">
            <w:pPr>
              <w:pStyle w:val="NormalWeb"/>
              <w:jc w:val="both"/>
              <w:rPr>
                <w:color w:val="000000"/>
              </w:rPr>
            </w:pPr>
            <w:r>
              <w:rPr>
                <w:color w:val="000000"/>
              </w:rPr>
              <w:t>Limbe 1, 2, 3</w:t>
            </w:r>
          </w:p>
        </w:tc>
      </w:tr>
      <w:tr w:rsidR="00304B88" w:rsidTr="00304B88">
        <w:tc>
          <w:tcPr>
            <w:tcW w:w="3535" w:type="dxa"/>
            <w:vMerge/>
          </w:tcPr>
          <w:p w:rsidR="00304B88" w:rsidRDefault="00304B88" w:rsidP="00F3095C">
            <w:pPr>
              <w:pStyle w:val="NormalWeb"/>
              <w:jc w:val="both"/>
              <w:rPr>
                <w:color w:val="000000"/>
              </w:rPr>
            </w:pPr>
          </w:p>
        </w:tc>
        <w:tc>
          <w:tcPr>
            <w:tcW w:w="3535" w:type="dxa"/>
            <w:vMerge/>
          </w:tcPr>
          <w:p w:rsidR="00304B88" w:rsidRDefault="00304B88" w:rsidP="00F3095C">
            <w:pPr>
              <w:pStyle w:val="NormalWeb"/>
              <w:jc w:val="both"/>
              <w:rPr>
                <w:color w:val="000000"/>
              </w:rPr>
            </w:pPr>
          </w:p>
        </w:tc>
        <w:tc>
          <w:tcPr>
            <w:tcW w:w="3536" w:type="dxa"/>
          </w:tcPr>
          <w:p w:rsidR="00304B88" w:rsidRDefault="00304B88" w:rsidP="00F3095C">
            <w:pPr>
              <w:pStyle w:val="NormalWeb"/>
              <w:jc w:val="both"/>
              <w:rPr>
                <w:color w:val="000000"/>
              </w:rPr>
            </w:pPr>
            <w:r>
              <w:rPr>
                <w:color w:val="000000"/>
              </w:rPr>
              <w:t>Kumba 1, 2, 3</w:t>
            </w:r>
          </w:p>
        </w:tc>
      </w:tr>
      <w:tr w:rsidR="00304B88" w:rsidTr="00304B88">
        <w:tc>
          <w:tcPr>
            <w:tcW w:w="3535" w:type="dxa"/>
            <w:vMerge/>
          </w:tcPr>
          <w:p w:rsidR="00304B88" w:rsidRDefault="00304B88" w:rsidP="00F3095C">
            <w:pPr>
              <w:pStyle w:val="NormalWeb"/>
              <w:jc w:val="both"/>
              <w:rPr>
                <w:color w:val="000000"/>
              </w:rPr>
            </w:pPr>
          </w:p>
        </w:tc>
        <w:tc>
          <w:tcPr>
            <w:tcW w:w="3535" w:type="dxa"/>
          </w:tcPr>
          <w:p w:rsidR="00304B88" w:rsidRDefault="00304B88" w:rsidP="00F3095C">
            <w:pPr>
              <w:pStyle w:val="NormalWeb"/>
              <w:jc w:val="both"/>
              <w:rPr>
                <w:color w:val="000000"/>
              </w:rPr>
            </w:pPr>
            <w:r>
              <w:rPr>
                <w:color w:val="000000"/>
              </w:rPr>
              <w:t>Littoral</w:t>
            </w:r>
          </w:p>
        </w:tc>
        <w:tc>
          <w:tcPr>
            <w:tcW w:w="3536" w:type="dxa"/>
          </w:tcPr>
          <w:p w:rsidR="00304B88" w:rsidRDefault="00304B88" w:rsidP="00F3095C">
            <w:pPr>
              <w:pStyle w:val="NormalWeb"/>
              <w:jc w:val="both"/>
              <w:rPr>
                <w:color w:val="000000"/>
              </w:rPr>
            </w:pPr>
            <w:r>
              <w:rPr>
                <w:color w:val="000000"/>
              </w:rPr>
              <w:t>Douala 1, 2,3, 4, 5, 6</w:t>
            </w:r>
          </w:p>
        </w:tc>
      </w:tr>
      <w:tr w:rsidR="00023A44" w:rsidTr="00C15C32">
        <w:tc>
          <w:tcPr>
            <w:tcW w:w="3535" w:type="dxa"/>
          </w:tcPr>
          <w:p w:rsidR="00023A44" w:rsidRDefault="00023A44" w:rsidP="00F3095C">
            <w:pPr>
              <w:pStyle w:val="NormalWeb"/>
              <w:jc w:val="both"/>
              <w:rPr>
                <w:color w:val="000000"/>
              </w:rPr>
            </w:pPr>
            <w:r>
              <w:rPr>
                <w:color w:val="000000"/>
              </w:rPr>
              <w:t xml:space="preserve">Gouvernance locale et </w:t>
            </w:r>
            <w:proofErr w:type="spellStart"/>
            <w:r>
              <w:rPr>
                <w:color w:val="000000"/>
              </w:rPr>
              <w:t>redevabilité</w:t>
            </w:r>
            <w:proofErr w:type="spellEnd"/>
          </w:p>
        </w:tc>
        <w:tc>
          <w:tcPr>
            <w:tcW w:w="7071" w:type="dxa"/>
            <w:gridSpan w:val="2"/>
          </w:tcPr>
          <w:p w:rsidR="00023A44" w:rsidRDefault="00023A44" w:rsidP="00F3095C">
            <w:pPr>
              <w:pStyle w:val="NormalWeb"/>
              <w:jc w:val="both"/>
              <w:rPr>
                <w:color w:val="000000"/>
              </w:rPr>
            </w:pPr>
          </w:p>
        </w:tc>
      </w:tr>
      <w:tr w:rsidR="00023A44" w:rsidTr="006E4CE1">
        <w:tc>
          <w:tcPr>
            <w:tcW w:w="3535" w:type="dxa"/>
          </w:tcPr>
          <w:p w:rsidR="00023A44" w:rsidRDefault="00023A44" w:rsidP="00F3095C">
            <w:pPr>
              <w:pStyle w:val="NormalWeb"/>
              <w:jc w:val="both"/>
              <w:rPr>
                <w:color w:val="000000"/>
              </w:rPr>
            </w:pPr>
            <w:r>
              <w:rPr>
                <w:color w:val="000000"/>
              </w:rPr>
              <w:t xml:space="preserve">Appropriation </w:t>
            </w:r>
          </w:p>
        </w:tc>
        <w:tc>
          <w:tcPr>
            <w:tcW w:w="7071" w:type="dxa"/>
            <w:gridSpan w:val="2"/>
          </w:tcPr>
          <w:p w:rsidR="00023A44" w:rsidRDefault="00023A44" w:rsidP="00F3095C">
            <w:pPr>
              <w:pStyle w:val="NormalWeb"/>
              <w:jc w:val="both"/>
              <w:rPr>
                <w:color w:val="000000"/>
              </w:rPr>
            </w:pPr>
            <w:r>
              <w:rPr>
                <w:color w:val="000000"/>
              </w:rPr>
              <w:t>Efficience des Comités de gestion</w:t>
            </w:r>
          </w:p>
        </w:tc>
      </w:tr>
      <w:tr w:rsidR="00023A44" w:rsidTr="00FD37AC">
        <w:tc>
          <w:tcPr>
            <w:tcW w:w="3535" w:type="dxa"/>
          </w:tcPr>
          <w:p w:rsidR="00023A44" w:rsidRDefault="00023A44" w:rsidP="00F3095C">
            <w:pPr>
              <w:pStyle w:val="NormalWeb"/>
              <w:jc w:val="both"/>
              <w:rPr>
                <w:color w:val="000000"/>
              </w:rPr>
            </w:pPr>
            <w:r>
              <w:rPr>
                <w:color w:val="000000"/>
              </w:rPr>
              <w:t>Mise en œuvre des solutions endogènes</w:t>
            </w:r>
          </w:p>
        </w:tc>
        <w:tc>
          <w:tcPr>
            <w:tcW w:w="7071" w:type="dxa"/>
            <w:gridSpan w:val="2"/>
          </w:tcPr>
          <w:p w:rsidR="00023A44" w:rsidRDefault="00023A44" w:rsidP="00F3095C">
            <w:pPr>
              <w:pStyle w:val="NormalWeb"/>
              <w:jc w:val="both"/>
              <w:rPr>
                <w:color w:val="000000"/>
              </w:rPr>
            </w:pPr>
            <w:r>
              <w:rPr>
                <w:color w:val="000000"/>
              </w:rPr>
              <w:t>Fonctionnement des Comités de Concertation</w:t>
            </w:r>
          </w:p>
        </w:tc>
      </w:tr>
      <w:tr w:rsidR="00023A44" w:rsidTr="00D670E0">
        <w:tc>
          <w:tcPr>
            <w:tcW w:w="3535" w:type="dxa"/>
          </w:tcPr>
          <w:p w:rsidR="00023A44" w:rsidRDefault="00023A44" w:rsidP="00F3095C">
            <w:pPr>
              <w:pStyle w:val="NormalWeb"/>
              <w:jc w:val="both"/>
              <w:rPr>
                <w:color w:val="000000"/>
              </w:rPr>
            </w:pPr>
          </w:p>
        </w:tc>
        <w:tc>
          <w:tcPr>
            <w:tcW w:w="7071" w:type="dxa"/>
            <w:gridSpan w:val="2"/>
          </w:tcPr>
          <w:p w:rsidR="00023A44" w:rsidRDefault="00023A44" w:rsidP="00F3095C">
            <w:pPr>
              <w:pStyle w:val="NormalWeb"/>
              <w:jc w:val="both"/>
              <w:rPr>
                <w:color w:val="000000"/>
              </w:rPr>
            </w:pPr>
          </w:p>
        </w:tc>
      </w:tr>
    </w:tbl>
    <w:p w:rsidR="00F3095C" w:rsidRPr="00A20ACC" w:rsidRDefault="00F3095C" w:rsidP="00F3095C">
      <w:pPr>
        <w:pStyle w:val="NormalWeb"/>
        <w:jc w:val="both"/>
        <w:rPr>
          <w:color w:val="000000"/>
        </w:rPr>
      </w:pPr>
    </w:p>
    <w:p w:rsidR="00B1236D" w:rsidRPr="00F3095C" w:rsidRDefault="00B1236D" w:rsidP="00B1236D">
      <w:pPr>
        <w:pStyle w:val="Titre3"/>
        <w:pBdr>
          <w:bottom w:val="single" w:sz="4" w:space="1" w:color="auto"/>
        </w:pBdr>
        <w:spacing w:after="240"/>
        <w:jc w:val="both"/>
        <w:rPr>
          <w:rFonts w:ascii="Times New Roman" w:hAnsi="Times New Roman" w:cs="Times New Roman"/>
          <w:color w:val="auto"/>
          <w:sz w:val="24"/>
          <w:szCs w:val="24"/>
        </w:rPr>
      </w:pPr>
      <w:r w:rsidRPr="00F3095C">
        <w:rPr>
          <w:rFonts w:ascii="Times New Roman" w:hAnsi="Times New Roman" w:cs="Times New Roman"/>
          <w:color w:val="auto"/>
          <w:sz w:val="24"/>
          <w:szCs w:val="24"/>
        </w:rPr>
        <w:t>I</w:t>
      </w:r>
      <w:r w:rsidR="00023A44">
        <w:rPr>
          <w:rFonts w:ascii="Times New Roman" w:hAnsi="Times New Roman" w:cs="Times New Roman"/>
          <w:color w:val="auto"/>
          <w:sz w:val="24"/>
          <w:szCs w:val="24"/>
        </w:rPr>
        <w:t>V</w:t>
      </w:r>
      <w:r w:rsidRPr="00F3095C">
        <w:rPr>
          <w:rFonts w:ascii="Times New Roman" w:hAnsi="Times New Roman" w:cs="Times New Roman"/>
          <w:color w:val="auto"/>
          <w:sz w:val="24"/>
          <w:szCs w:val="24"/>
        </w:rPr>
        <w:t>. Organisation et déroulement de l’atelier</w:t>
      </w:r>
    </w:p>
    <w:p w:rsidR="00B1236D" w:rsidRPr="00A20ACC" w:rsidRDefault="00B1236D" w:rsidP="00B1236D">
      <w:pPr>
        <w:pStyle w:val="NormalWeb"/>
        <w:spacing w:before="0" w:beforeAutospacing="0" w:after="0" w:afterAutospacing="0"/>
        <w:jc w:val="both"/>
        <w:rPr>
          <w:color w:val="000000"/>
        </w:rPr>
      </w:pPr>
      <w:r w:rsidRPr="00A20ACC">
        <w:rPr>
          <w:color w:val="000000"/>
        </w:rPr>
        <w:t xml:space="preserve">Sous la facilitation d’un modérateur, l’atelier connaîtra deux temps forts : (i) la cérémonie protocolaire et (ii) </w:t>
      </w:r>
      <w:proofErr w:type="gramStart"/>
      <w:r w:rsidRPr="00A20ACC">
        <w:rPr>
          <w:color w:val="000000"/>
        </w:rPr>
        <w:t>la</w:t>
      </w:r>
      <w:proofErr w:type="gramEnd"/>
      <w:r w:rsidRPr="00A20ACC">
        <w:rPr>
          <w:color w:val="000000"/>
        </w:rPr>
        <w:t xml:space="preserve"> phase technique qui consistera en des exposés en plénière suivis des échanges et discussions. </w:t>
      </w:r>
    </w:p>
    <w:p w:rsidR="00B1236D" w:rsidRPr="00A20ACC" w:rsidRDefault="00B1236D" w:rsidP="00B1236D">
      <w:pPr>
        <w:pStyle w:val="NormalWeb"/>
        <w:spacing w:before="0" w:beforeAutospacing="0" w:after="0" w:afterAutospacing="0"/>
        <w:jc w:val="both"/>
        <w:rPr>
          <w:color w:val="000000"/>
        </w:rPr>
      </w:pPr>
      <w:r w:rsidRPr="00A20ACC">
        <w:rPr>
          <w:color w:val="000000"/>
        </w:rPr>
        <w:t>S’agissant de la cérémonie protocolaire, elle sera ponctuée par deux exposés et des discours:</w:t>
      </w:r>
    </w:p>
    <w:p w:rsidR="00B1236D" w:rsidRPr="00A20ACC" w:rsidRDefault="00B1236D" w:rsidP="00B1236D">
      <w:pPr>
        <w:pStyle w:val="NormalWeb"/>
        <w:numPr>
          <w:ilvl w:val="0"/>
          <w:numId w:val="9"/>
        </w:numPr>
        <w:spacing w:before="0" w:beforeAutospacing="0" w:after="0" w:afterAutospacing="0"/>
        <w:jc w:val="both"/>
        <w:rPr>
          <w:color w:val="000000"/>
        </w:rPr>
      </w:pPr>
      <w:r w:rsidRPr="00A20ACC">
        <w:rPr>
          <w:color w:val="000000"/>
        </w:rPr>
        <w:t>Exposé 1 : Présentation du bilan du PNDP ;</w:t>
      </w:r>
    </w:p>
    <w:p w:rsidR="00B1236D" w:rsidRPr="00A20ACC" w:rsidRDefault="00B1236D" w:rsidP="00B1236D">
      <w:pPr>
        <w:pStyle w:val="NormalWeb"/>
        <w:numPr>
          <w:ilvl w:val="0"/>
          <w:numId w:val="9"/>
        </w:numPr>
        <w:spacing w:before="0" w:beforeAutospacing="0" w:after="0" w:afterAutospacing="0"/>
        <w:jc w:val="both"/>
        <w:rPr>
          <w:color w:val="000000"/>
        </w:rPr>
      </w:pPr>
      <w:r w:rsidRPr="00A20ACC">
        <w:rPr>
          <w:color w:val="000000"/>
        </w:rPr>
        <w:t>Exposé 2 : Présentation du PNDP 3 ;</w:t>
      </w:r>
    </w:p>
    <w:p w:rsidR="00B1236D" w:rsidRPr="00A20ACC" w:rsidRDefault="00B1236D" w:rsidP="00B1236D">
      <w:pPr>
        <w:pStyle w:val="NormalWeb"/>
        <w:numPr>
          <w:ilvl w:val="0"/>
          <w:numId w:val="9"/>
        </w:numPr>
        <w:spacing w:before="0" w:beforeAutospacing="0" w:after="0" w:afterAutospacing="0"/>
        <w:jc w:val="both"/>
        <w:rPr>
          <w:color w:val="000000"/>
        </w:rPr>
      </w:pPr>
      <w:r w:rsidRPr="00A20ACC">
        <w:rPr>
          <w:color w:val="000000"/>
        </w:rPr>
        <w:t>Mot de Mme la Directrice des Opérations pays de la Banque mondiale</w:t>
      </w:r>
    </w:p>
    <w:p w:rsidR="00B1236D" w:rsidRPr="00A20ACC" w:rsidRDefault="00B1236D" w:rsidP="00B1236D">
      <w:pPr>
        <w:pStyle w:val="NormalWeb"/>
        <w:numPr>
          <w:ilvl w:val="0"/>
          <w:numId w:val="9"/>
        </w:numPr>
        <w:spacing w:before="0" w:beforeAutospacing="0" w:after="0" w:afterAutospacing="0"/>
        <w:jc w:val="both"/>
        <w:rPr>
          <w:color w:val="000000"/>
        </w:rPr>
      </w:pPr>
      <w:r w:rsidRPr="00A20ACC">
        <w:rPr>
          <w:color w:val="000000"/>
        </w:rPr>
        <w:t>Discours du lancement du MINEPAT.</w:t>
      </w:r>
    </w:p>
    <w:p w:rsidR="00B1236D" w:rsidRPr="00A20ACC" w:rsidRDefault="00B1236D" w:rsidP="00B1236D">
      <w:pPr>
        <w:pStyle w:val="NormalWeb"/>
        <w:spacing w:before="0" w:beforeAutospacing="0" w:after="0" w:afterAutospacing="0"/>
        <w:jc w:val="both"/>
        <w:rPr>
          <w:color w:val="000000"/>
        </w:rPr>
      </w:pPr>
      <w:r w:rsidRPr="00A20ACC">
        <w:rPr>
          <w:color w:val="000000"/>
        </w:rPr>
        <w:t>Pour ce qui est de la phase technique, trois thèmes ont été retenus :</w:t>
      </w:r>
    </w:p>
    <w:p w:rsidR="00B1236D" w:rsidRPr="00A20ACC" w:rsidRDefault="00B1236D" w:rsidP="00B1236D">
      <w:pPr>
        <w:pStyle w:val="Paragraphedeliste"/>
        <w:numPr>
          <w:ilvl w:val="0"/>
          <w:numId w:val="8"/>
        </w:numPr>
        <w:shd w:val="clear" w:color="auto" w:fill="FFFFFF"/>
        <w:spacing w:line="240" w:lineRule="auto"/>
        <w:rPr>
          <w:rFonts w:ascii="Times New Roman" w:hAnsi="Times New Roman"/>
          <w:sz w:val="24"/>
          <w:szCs w:val="24"/>
        </w:rPr>
      </w:pPr>
      <w:r w:rsidRPr="00A20ACC">
        <w:rPr>
          <w:rFonts w:ascii="Times New Roman" w:hAnsi="Times New Roman"/>
          <w:sz w:val="24"/>
          <w:szCs w:val="24"/>
          <w:u w:val="single"/>
        </w:rPr>
        <w:t>Thème 1</w:t>
      </w:r>
      <w:r w:rsidRPr="00A20ACC">
        <w:rPr>
          <w:rFonts w:ascii="Times New Roman" w:hAnsi="Times New Roman"/>
          <w:sz w:val="24"/>
          <w:szCs w:val="24"/>
        </w:rPr>
        <w:t> : Gouvernance et transfert des compétences aux CTD: où en est-on?</w:t>
      </w:r>
    </w:p>
    <w:p w:rsidR="00B1236D" w:rsidRPr="00A20ACC" w:rsidRDefault="00B1236D" w:rsidP="00B1236D">
      <w:pPr>
        <w:pStyle w:val="Paragraphedeliste"/>
        <w:numPr>
          <w:ilvl w:val="0"/>
          <w:numId w:val="8"/>
        </w:numPr>
        <w:shd w:val="clear" w:color="auto" w:fill="FFFFFF"/>
        <w:spacing w:line="240" w:lineRule="auto"/>
        <w:rPr>
          <w:rFonts w:ascii="Times New Roman" w:hAnsi="Times New Roman"/>
          <w:sz w:val="24"/>
          <w:szCs w:val="24"/>
        </w:rPr>
      </w:pPr>
      <w:r w:rsidRPr="00A20ACC">
        <w:rPr>
          <w:rFonts w:ascii="Times New Roman" w:hAnsi="Times New Roman"/>
          <w:sz w:val="24"/>
          <w:szCs w:val="24"/>
          <w:u w:val="single"/>
        </w:rPr>
        <w:t>Thème 2</w:t>
      </w:r>
      <w:r w:rsidRPr="00A20ACC">
        <w:rPr>
          <w:rFonts w:ascii="Times New Roman" w:hAnsi="Times New Roman"/>
          <w:sz w:val="24"/>
          <w:szCs w:val="24"/>
        </w:rPr>
        <w:t xml:space="preserve"> : </w:t>
      </w:r>
      <w:r w:rsidRPr="00A20ACC">
        <w:rPr>
          <w:rFonts w:ascii="Times New Roman" w:hAnsi="Times New Roman"/>
          <w:sz w:val="24"/>
          <w:szCs w:val="24"/>
          <w:u w:val="single"/>
        </w:rPr>
        <w:t>Recouvr</w:t>
      </w:r>
      <w:r w:rsidRPr="00A20ACC">
        <w:rPr>
          <w:rFonts w:ascii="Times New Roman" w:hAnsi="Times New Roman"/>
          <w:sz w:val="24"/>
          <w:szCs w:val="24"/>
        </w:rPr>
        <w:t>ement et sécurisation des recettes fiscales au sein des CTD: problèmes et innovations ;</w:t>
      </w:r>
    </w:p>
    <w:p w:rsidR="00B1236D" w:rsidRPr="00A20ACC" w:rsidRDefault="00B1236D" w:rsidP="00B1236D">
      <w:pPr>
        <w:pStyle w:val="Paragraphedeliste"/>
        <w:numPr>
          <w:ilvl w:val="0"/>
          <w:numId w:val="8"/>
        </w:numPr>
        <w:shd w:val="clear" w:color="auto" w:fill="FFFFFF"/>
        <w:spacing w:line="240" w:lineRule="auto"/>
        <w:rPr>
          <w:rFonts w:ascii="Times New Roman" w:hAnsi="Times New Roman"/>
          <w:sz w:val="24"/>
          <w:szCs w:val="24"/>
        </w:rPr>
      </w:pPr>
      <w:r w:rsidRPr="00A20ACC">
        <w:rPr>
          <w:rFonts w:ascii="Times New Roman" w:hAnsi="Times New Roman"/>
          <w:sz w:val="24"/>
          <w:szCs w:val="24"/>
          <w:u w:val="single"/>
        </w:rPr>
        <w:t>Thème 3</w:t>
      </w:r>
      <w:r w:rsidRPr="00A20ACC">
        <w:rPr>
          <w:rFonts w:ascii="Times New Roman" w:hAnsi="Times New Roman"/>
          <w:sz w:val="24"/>
          <w:szCs w:val="24"/>
        </w:rPr>
        <w:t> : Mise en œuvre des solutions endogènes : le rôle de la commune et des communautés à la base.</w:t>
      </w:r>
    </w:p>
    <w:p w:rsidR="00F3095C" w:rsidRDefault="00B1236D" w:rsidP="00F3095C">
      <w:pPr>
        <w:pStyle w:val="Paragraphedeliste"/>
        <w:shd w:val="clear" w:color="auto" w:fill="FFFFFF"/>
        <w:spacing w:line="240" w:lineRule="auto"/>
        <w:ind w:left="0"/>
        <w:rPr>
          <w:rFonts w:ascii="Times New Roman" w:hAnsi="Times New Roman"/>
          <w:sz w:val="24"/>
          <w:szCs w:val="24"/>
        </w:rPr>
      </w:pPr>
      <w:r w:rsidRPr="00A20ACC">
        <w:rPr>
          <w:rFonts w:ascii="Times New Roman" w:hAnsi="Times New Roman"/>
          <w:sz w:val="24"/>
          <w:szCs w:val="24"/>
        </w:rPr>
        <w:t xml:space="preserve">Chaque thème fera l’objet d’un exposé liminaire par un expert du domaine et enrichi par les commentaires des </w:t>
      </w:r>
      <w:proofErr w:type="spellStart"/>
      <w:r w:rsidRPr="00A20ACC">
        <w:rPr>
          <w:rFonts w:ascii="Times New Roman" w:hAnsi="Times New Roman"/>
          <w:sz w:val="24"/>
          <w:szCs w:val="24"/>
        </w:rPr>
        <w:t>discutants</w:t>
      </w:r>
      <w:proofErr w:type="spellEnd"/>
      <w:r w:rsidRPr="00A20ACC">
        <w:rPr>
          <w:rFonts w:ascii="Times New Roman" w:hAnsi="Times New Roman"/>
          <w:sz w:val="24"/>
          <w:szCs w:val="24"/>
        </w:rPr>
        <w:t>. Ensuite, suivront des échanges avec l’ensemble des participants.</w:t>
      </w:r>
    </w:p>
    <w:p w:rsidR="00A20ACC" w:rsidRPr="00A20ACC" w:rsidRDefault="00A20ACC" w:rsidP="00A20ACC">
      <w:pPr>
        <w:jc w:val="both"/>
        <w:rPr>
          <w:rFonts w:ascii="Times New Roman" w:hAnsi="Times New Roman"/>
          <w:sz w:val="24"/>
          <w:szCs w:val="24"/>
        </w:rPr>
      </w:pPr>
      <w:r w:rsidRPr="00A20ACC">
        <w:rPr>
          <w:rFonts w:ascii="Times New Roman" w:hAnsi="Times New Roman"/>
          <w:sz w:val="24"/>
          <w:szCs w:val="24"/>
        </w:rPr>
        <w:t xml:space="preserve">Placé sous </w:t>
      </w:r>
      <w:r w:rsidR="00F3095C">
        <w:rPr>
          <w:rFonts w:ascii="Times New Roman" w:hAnsi="Times New Roman"/>
          <w:sz w:val="24"/>
          <w:szCs w:val="24"/>
        </w:rPr>
        <w:t>le patronage</w:t>
      </w:r>
      <w:r w:rsidRPr="00A20ACC">
        <w:rPr>
          <w:rFonts w:ascii="Times New Roman" w:hAnsi="Times New Roman"/>
          <w:sz w:val="24"/>
          <w:szCs w:val="24"/>
        </w:rPr>
        <w:t xml:space="preserve"> du Ministre en charge de l’Economie, de la Planification et</w:t>
      </w:r>
      <w:r w:rsidR="00F3095C">
        <w:rPr>
          <w:rFonts w:ascii="Times New Roman" w:hAnsi="Times New Roman"/>
          <w:sz w:val="24"/>
          <w:szCs w:val="24"/>
        </w:rPr>
        <w:t xml:space="preserve"> de l’Aménagement du Territoire,</w:t>
      </w:r>
      <w:r w:rsidRPr="00A20ACC">
        <w:rPr>
          <w:rFonts w:ascii="Times New Roman" w:hAnsi="Times New Roman"/>
          <w:sz w:val="24"/>
          <w:szCs w:val="24"/>
        </w:rPr>
        <w:t xml:space="preserve"> </w:t>
      </w:r>
      <w:r w:rsidR="00F3095C">
        <w:rPr>
          <w:rFonts w:ascii="Times New Roman" w:hAnsi="Times New Roman"/>
          <w:sz w:val="24"/>
          <w:szCs w:val="24"/>
        </w:rPr>
        <w:t>l’atelier</w:t>
      </w:r>
      <w:r w:rsidRPr="00A20ACC">
        <w:rPr>
          <w:rFonts w:ascii="Times New Roman" w:hAnsi="Times New Roman"/>
          <w:sz w:val="24"/>
          <w:szCs w:val="24"/>
        </w:rPr>
        <w:t xml:space="preserve"> connaît</w:t>
      </w:r>
      <w:r w:rsidR="00F3095C">
        <w:rPr>
          <w:rFonts w:ascii="Times New Roman" w:hAnsi="Times New Roman"/>
          <w:sz w:val="24"/>
          <w:szCs w:val="24"/>
        </w:rPr>
        <w:t>ra la participation de tous les</w:t>
      </w:r>
      <w:r w:rsidRPr="00A20ACC">
        <w:rPr>
          <w:rFonts w:ascii="Times New Roman" w:hAnsi="Times New Roman"/>
          <w:sz w:val="24"/>
          <w:szCs w:val="24"/>
        </w:rPr>
        <w:t xml:space="preserve"> Ministères Sectoriels, </w:t>
      </w:r>
      <w:r w:rsidR="0040793A">
        <w:rPr>
          <w:rFonts w:ascii="Times New Roman" w:hAnsi="Times New Roman"/>
          <w:sz w:val="24"/>
          <w:szCs w:val="24"/>
        </w:rPr>
        <w:t>et des</w:t>
      </w:r>
      <w:r w:rsidRPr="00A20ACC">
        <w:rPr>
          <w:rFonts w:ascii="Times New Roman" w:hAnsi="Times New Roman"/>
          <w:sz w:val="24"/>
          <w:szCs w:val="24"/>
        </w:rPr>
        <w:t xml:space="preserve"> rep</w:t>
      </w:r>
      <w:r w:rsidR="00F3095C">
        <w:rPr>
          <w:rFonts w:ascii="Times New Roman" w:hAnsi="Times New Roman"/>
          <w:sz w:val="24"/>
          <w:szCs w:val="24"/>
        </w:rPr>
        <w:t xml:space="preserve">résentants des </w:t>
      </w:r>
      <w:r w:rsidR="00F3095C">
        <w:rPr>
          <w:rFonts w:ascii="Times New Roman" w:hAnsi="Times New Roman"/>
          <w:sz w:val="24"/>
          <w:szCs w:val="24"/>
        </w:rPr>
        <w:lastRenderedPageBreak/>
        <w:t>maires.</w:t>
      </w:r>
      <w:r w:rsidRPr="00A20ACC">
        <w:rPr>
          <w:rFonts w:ascii="Times New Roman" w:hAnsi="Times New Roman"/>
          <w:sz w:val="24"/>
          <w:szCs w:val="24"/>
        </w:rPr>
        <w:t xml:space="preserve"> Prennent également part à cette instance, quelques représentants des projets de développement, les partenaires techniques et financiers, ainsi que les membres de la société civile.</w:t>
      </w:r>
    </w:p>
    <w:p w:rsidR="007C3639" w:rsidRPr="00F3095C" w:rsidRDefault="007C3639" w:rsidP="007C3639">
      <w:pPr>
        <w:spacing w:after="120"/>
        <w:jc w:val="both"/>
        <w:rPr>
          <w:rFonts w:ascii="Times New Roman" w:hAnsi="Times New Roman"/>
          <w:sz w:val="24"/>
          <w:szCs w:val="24"/>
        </w:rPr>
      </w:pPr>
    </w:p>
    <w:p w:rsidR="007C3639" w:rsidRPr="00F3095C" w:rsidRDefault="007C3639" w:rsidP="007C3639">
      <w:pPr>
        <w:jc w:val="both"/>
        <w:rPr>
          <w:rFonts w:ascii="Times New Roman" w:hAnsi="Times New Roman"/>
          <w:sz w:val="24"/>
          <w:szCs w:val="24"/>
        </w:rPr>
      </w:pPr>
    </w:p>
    <w:p w:rsidR="007C3639" w:rsidRPr="00F3095C" w:rsidRDefault="00A20ACC" w:rsidP="00F3095C">
      <w:pPr>
        <w:pStyle w:val="Titre3"/>
        <w:pBdr>
          <w:bottom w:val="single" w:sz="4" w:space="1" w:color="auto"/>
        </w:pBdr>
        <w:spacing w:after="200"/>
        <w:jc w:val="both"/>
        <w:rPr>
          <w:rFonts w:ascii="Times New Roman" w:hAnsi="Times New Roman" w:cs="Times New Roman"/>
          <w:color w:val="auto"/>
          <w:sz w:val="24"/>
          <w:szCs w:val="24"/>
        </w:rPr>
      </w:pPr>
      <w:r w:rsidRPr="00F3095C">
        <w:rPr>
          <w:rFonts w:ascii="Times New Roman" w:hAnsi="Times New Roman" w:cs="Times New Roman"/>
          <w:color w:val="auto"/>
          <w:sz w:val="24"/>
          <w:szCs w:val="24"/>
        </w:rPr>
        <w:t>V.</w:t>
      </w:r>
      <w:r w:rsidRPr="00F3095C">
        <w:rPr>
          <w:rFonts w:ascii="Times New Roman" w:hAnsi="Times New Roman" w:cs="Times New Roman"/>
          <w:color w:val="auto"/>
          <w:sz w:val="24"/>
          <w:szCs w:val="24"/>
        </w:rPr>
        <w:tab/>
        <w:t xml:space="preserve">Programme prévisionnel de l’Atelier : </w:t>
      </w:r>
      <w:bookmarkStart w:id="1" w:name="_Toc315801881"/>
    </w:p>
    <w:p w:rsidR="0040793A" w:rsidRDefault="0040793A" w:rsidP="0040793A">
      <w:pPr>
        <w:pStyle w:val="Titre1"/>
        <w:rPr>
          <w:rFonts w:ascii="Times New Roman" w:hAnsi="Times New Roman"/>
          <w:color w:val="auto"/>
          <w:sz w:val="24"/>
          <w:szCs w:val="24"/>
        </w:rPr>
      </w:pPr>
    </w:p>
    <w:p w:rsidR="007C3639" w:rsidRPr="00A20ACC" w:rsidRDefault="007C3639" w:rsidP="0040793A">
      <w:pPr>
        <w:pStyle w:val="Titre1"/>
        <w:rPr>
          <w:rFonts w:ascii="Times New Roman" w:hAnsi="Times New Roman"/>
          <w:color w:val="auto"/>
          <w:sz w:val="24"/>
          <w:szCs w:val="24"/>
        </w:rPr>
      </w:pPr>
      <w:r w:rsidRPr="00A20ACC">
        <w:rPr>
          <w:rFonts w:ascii="Times New Roman" w:hAnsi="Times New Roman"/>
          <w:color w:val="auto"/>
          <w:sz w:val="24"/>
          <w:szCs w:val="24"/>
        </w:rPr>
        <w:t xml:space="preserve"> Pour plus d’informations</w:t>
      </w:r>
      <w:bookmarkEnd w:id="1"/>
    </w:p>
    <w:p w:rsidR="0040793A" w:rsidRDefault="0040793A" w:rsidP="0040793A">
      <w:pPr>
        <w:rPr>
          <w:rFonts w:ascii="Times New Roman" w:hAnsi="Times New Roman"/>
          <w:sz w:val="24"/>
          <w:szCs w:val="24"/>
        </w:rPr>
      </w:pPr>
    </w:p>
    <w:p w:rsidR="007C3639" w:rsidRPr="00A20ACC" w:rsidRDefault="007C3639" w:rsidP="0040793A">
      <w:pPr>
        <w:rPr>
          <w:rFonts w:ascii="Times New Roman" w:hAnsi="Times New Roman"/>
          <w:sz w:val="24"/>
          <w:szCs w:val="24"/>
        </w:rPr>
      </w:pPr>
      <w:r w:rsidRPr="00A20ACC">
        <w:rPr>
          <w:rFonts w:ascii="Times New Roman" w:hAnsi="Times New Roman"/>
          <w:sz w:val="24"/>
          <w:szCs w:val="24"/>
        </w:rPr>
        <w:t>B</w:t>
      </w:r>
      <w:r w:rsidR="0040793A">
        <w:rPr>
          <w:rFonts w:ascii="Times New Roman" w:hAnsi="Times New Roman"/>
          <w:sz w:val="24"/>
          <w:szCs w:val="24"/>
        </w:rPr>
        <w:t>i</w:t>
      </w:r>
      <w:r w:rsidRPr="00A20ACC">
        <w:rPr>
          <w:rFonts w:ascii="Times New Roman" w:hAnsi="Times New Roman"/>
          <w:sz w:val="24"/>
          <w:szCs w:val="24"/>
        </w:rPr>
        <w:t xml:space="preserve">en vouloir consulter notre site web : </w:t>
      </w:r>
      <w:hyperlink r:id="rId8" w:history="1">
        <w:r w:rsidRPr="00A20ACC">
          <w:rPr>
            <w:rStyle w:val="Lienhypertexte"/>
            <w:rFonts w:ascii="Times New Roman" w:hAnsi="Times New Roman"/>
            <w:sz w:val="24"/>
            <w:szCs w:val="24"/>
          </w:rPr>
          <w:t>www.pndp.org</w:t>
        </w:r>
      </w:hyperlink>
      <w:r w:rsidRPr="00A20ACC">
        <w:rPr>
          <w:rFonts w:ascii="Times New Roman" w:hAnsi="Times New Roman"/>
          <w:sz w:val="24"/>
          <w:szCs w:val="24"/>
        </w:rPr>
        <w:t xml:space="preserve"> </w:t>
      </w:r>
    </w:p>
    <w:p w:rsidR="00BD60D0" w:rsidRPr="00A20ACC" w:rsidRDefault="007C3639" w:rsidP="0040793A">
      <w:pPr>
        <w:rPr>
          <w:rFonts w:ascii="Times New Roman" w:hAnsi="Times New Roman"/>
          <w:sz w:val="24"/>
          <w:szCs w:val="24"/>
        </w:rPr>
      </w:pPr>
      <w:r w:rsidRPr="00A20ACC">
        <w:rPr>
          <w:rFonts w:ascii="Times New Roman" w:hAnsi="Times New Roman"/>
          <w:sz w:val="24"/>
          <w:szCs w:val="24"/>
        </w:rPr>
        <w:t>Et télécharger les différentes éditions de notre magazine institutionnel LES ECHOS DU PNDP</w:t>
      </w:r>
    </w:p>
    <w:sectPr w:rsidR="00BD60D0" w:rsidRPr="00A20ACC" w:rsidSect="001148D6">
      <w:footerReference w:type="default" r:id="rId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BF" w:rsidRDefault="00FD2753">
    <w:pPr>
      <w:pStyle w:val="Pieddepage"/>
      <w:jc w:val="center"/>
    </w:pPr>
    <w:r>
      <w:fldChar w:fldCharType="begin"/>
    </w:r>
    <w:r>
      <w:instrText>PAGE</w:instrText>
    </w:r>
    <w:r>
      <w:instrText xml:space="preserve">   \* MERGEFORMAT</w:instrText>
    </w:r>
    <w:r>
      <w:fldChar w:fldCharType="separate"/>
    </w:r>
    <w:r w:rsidR="005D3269">
      <w:rPr>
        <w:noProof/>
      </w:rPr>
      <w:t>4</w:t>
    </w:r>
    <w:r>
      <w:rPr>
        <w:noProof/>
      </w:rPr>
      <w:fldChar w:fldCharType="end"/>
    </w:r>
  </w:p>
  <w:p w:rsidR="00F15EBF" w:rsidRDefault="00FD2753">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18BA"/>
    <w:multiLevelType w:val="hybridMultilevel"/>
    <w:tmpl w:val="CBDA0A10"/>
    <w:lvl w:ilvl="0" w:tplc="040C000F">
      <w:start w:val="1"/>
      <w:numFmt w:val="decimal"/>
      <w:lvlText w:val="%1."/>
      <w:lvlJc w:val="left"/>
      <w:pPr>
        <w:ind w:left="29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460217"/>
    <w:multiLevelType w:val="hybridMultilevel"/>
    <w:tmpl w:val="B48867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C718A6"/>
    <w:multiLevelType w:val="hybridMultilevel"/>
    <w:tmpl w:val="3F948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C417A8"/>
    <w:multiLevelType w:val="hybridMultilevel"/>
    <w:tmpl w:val="43D0D908"/>
    <w:lvl w:ilvl="0" w:tplc="70E8F874">
      <w:numFmt w:val="bullet"/>
      <w:lvlText w:val="-"/>
      <w:lvlJc w:val="left"/>
      <w:pPr>
        <w:ind w:left="720" w:hanging="360"/>
      </w:pPr>
      <w:rPr>
        <w:rFonts w:ascii="Calibri" w:eastAsia="Arial Unicode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602D74"/>
    <w:multiLevelType w:val="hybridMultilevel"/>
    <w:tmpl w:val="35CC32BA"/>
    <w:lvl w:ilvl="0" w:tplc="2C8C6A80">
      <w:start w:val="13"/>
      <w:numFmt w:val="bullet"/>
      <w:lvlText w:val="-"/>
      <w:lvlJc w:val="left"/>
      <w:pPr>
        <w:ind w:left="1800" w:hanging="360"/>
      </w:pPr>
      <w:rPr>
        <w:rFonts w:ascii="Cambria" w:eastAsia="MS Mincho" w:hAnsi="Cambri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51335B4C"/>
    <w:multiLevelType w:val="hybridMultilevel"/>
    <w:tmpl w:val="82F6AD8A"/>
    <w:lvl w:ilvl="0" w:tplc="025CD1F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174470"/>
    <w:multiLevelType w:val="hybridMultilevel"/>
    <w:tmpl w:val="7D0A5A78"/>
    <w:lvl w:ilvl="0" w:tplc="AADC57B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2411F9"/>
    <w:multiLevelType w:val="hybridMultilevel"/>
    <w:tmpl w:val="582E3FF0"/>
    <w:lvl w:ilvl="0" w:tplc="D728C97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421672"/>
    <w:multiLevelType w:val="hybridMultilevel"/>
    <w:tmpl w:val="91CA6C10"/>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320F5F"/>
    <w:multiLevelType w:val="hybridMultilevel"/>
    <w:tmpl w:val="54D83AB8"/>
    <w:lvl w:ilvl="0" w:tplc="88AA4CEC">
      <w:start w:val="1"/>
      <w:numFmt w:val="upperRoman"/>
      <w:lvlText w:val="%1."/>
      <w:lvlJc w:val="left"/>
      <w:pPr>
        <w:ind w:left="3272" w:hanging="72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abstractNum w:abstractNumId="10">
    <w:nsid w:val="749843CB"/>
    <w:multiLevelType w:val="hybridMultilevel"/>
    <w:tmpl w:val="1048E5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7"/>
  </w:num>
  <w:num w:numId="7">
    <w:abstractNumId w:val="1"/>
  </w:num>
  <w:num w:numId="8">
    <w:abstractNumId w:val="8"/>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639"/>
    <w:rsid w:val="00000594"/>
    <w:rsid w:val="00023A44"/>
    <w:rsid w:val="00033ABB"/>
    <w:rsid w:val="00036AA5"/>
    <w:rsid w:val="00044BE7"/>
    <w:rsid w:val="00053832"/>
    <w:rsid w:val="00077A69"/>
    <w:rsid w:val="0008504B"/>
    <w:rsid w:val="000B4205"/>
    <w:rsid w:val="000C38AE"/>
    <w:rsid w:val="000D7566"/>
    <w:rsid w:val="001349CB"/>
    <w:rsid w:val="00135FD3"/>
    <w:rsid w:val="00150B93"/>
    <w:rsid w:val="001537C8"/>
    <w:rsid w:val="00195358"/>
    <w:rsid w:val="001A012C"/>
    <w:rsid w:val="001C7005"/>
    <w:rsid w:val="001D5EA2"/>
    <w:rsid w:val="001F788B"/>
    <w:rsid w:val="001F7D98"/>
    <w:rsid w:val="00212591"/>
    <w:rsid w:val="002170BC"/>
    <w:rsid w:val="0025168A"/>
    <w:rsid w:val="002804B3"/>
    <w:rsid w:val="00294E7E"/>
    <w:rsid w:val="002A3B0E"/>
    <w:rsid w:val="002A3CDE"/>
    <w:rsid w:val="002C20DA"/>
    <w:rsid w:val="002C5A09"/>
    <w:rsid w:val="002D466F"/>
    <w:rsid w:val="002E5BD3"/>
    <w:rsid w:val="002E6689"/>
    <w:rsid w:val="00304B88"/>
    <w:rsid w:val="0031242C"/>
    <w:rsid w:val="00315689"/>
    <w:rsid w:val="003204E5"/>
    <w:rsid w:val="00321AF8"/>
    <w:rsid w:val="003233EB"/>
    <w:rsid w:val="003701B9"/>
    <w:rsid w:val="00381008"/>
    <w:rsid w:val="00387C3F"/>
    <w:rsid w:val="00394405"/>
    <w:rsid w:val="003B2F9C"/>
    <w:rsid w:val="003B6951"/>
    <w:rsid w:val="003E2B63"/>
    <w:rsid w:val="0040793A"/>
    <w:rsid w:val="00412965"/>
    <w:rsid w:val="004153A5"/>
    <w:rsid w:val="00415987"/>
    <w:rsid w:val="00474CBF"/>
    <w:rsid w:val="004D052A"/>
    <w:rsid w:val="004D7631"/>
    <w:rsid w:val="00511B35"/>
    <w:rsid w:val="00540D19"/>
    <w:rsid w:val="00546730"/>
    <w:rsid w:val="005541D6"/>
    <w:rsid w:val="005709F9"/>
    <w:rsid w:val="005A320D"/>
    <w:rsid w:val="005C3903"/>
    <w:rsid w:val="005C6F15"/>
    <w:rsid w:val="005D3269"/>
    <w:rsid w:val="005E19BE"/>
    <w:rsid w:val="005F53AD"/>
    <w:rsid w:val="00630709"/>
    <w:rsid w:val="006317F8"/>
    <w:rsid w:val="00632776"/>
    <w:rsid w:val="006472D8"/>
    <w:rsid w:val="00651ECC"/>
    <w:rsid w:val="0065564E"/>
    <w:rsid w:val="0066296A"/>
    <w:rsid w:val="006979FC"/>
    <w:rsid w:val="006A0517"/>
    <w:rsid w:val="006A08D1"/>
    <w:rsid w:val="006A726A"/>
    <w:rsid w:val="006B0B99"/>
    <w:rsid w:val="006B4394"/>
    <w:rsid w:val="006C1C76"/>
    <w:rsid w:val="006C52E0"/>
    <w:rsid w:val="006D14C2"/>
    <w:rsid w:val="0070620C"/>
    <w:rsid w:val="007143CA"/>
    <w:rsid w:val="0071755B"/>
    <w:rsid w:val="00735575"/>
    <w:rsid w:val="00763941"/>
    <w:rsid w:val="007874F2"/>
    <w:rsid w:val="0079402B"/>
    <w:rsid w:val="007A50F8"/>
    <w:rsid w:val="007C3639"/>
    <w:rsid w:val="007E7D4A"/>
    <w:rsid w:val="007F74E1"/>
    <w:rsid w:val="008534B6"/>
    <w:rsid w:val="00882E7D"/>
    <w:rsid w:val="008A6D21"/>
    <w:rsid w:val="008C7388"/>
    <w:rsid w:val="008F04DE"/>
    <w:rsid w:val="008F1860"/>
    <w:rsid w:val="008F2C5D"/>
    <w:rsid w:val="00903BE2"/>
    <w:rsid w:val="00933E1A"/>
    <w:rsid w:val="0096411E"/>
    <w:rsid w:val="00967438"/>
    <w:rsid w:val="0098095A"/>
    <w:rsid w:val="00982E24"/>
    <w:rsid w:val="0099183A"/>
    <w:rsid w:val="009937D2"/>
    <w:rsid w:val="009B5EA8"/>
    <w:rsid w:val="009B76CC"/>
    <w:rsid w:val="009C27AF"/>
    <w:rsid w:val="009C679A"/>
    <w:rsid w:val="009D6AB8"/>
    <w:rsid w:val="009E79D9"/>
    <w:rsid w:val="009F31AC"/>
    <w:rsid w:val="00A12FEE"/>
    <w:rsid w:val="00A20ACC"/>
    <w:rsid w:val="00A24224"/>
    <w:rsid w:val="00A24996"/>
    <w:rsid w:val="00A6600E"/>
    <w:rsid w:val="00A81234"/>
    <w:rsid w:val="00AA5A16"/>
    <w:rsid w:val="00AA7195"/>
    <w:rsid w:val="00AB65EB"/>
    <w:rsid w:val="00AC12C4"/>
    <w:rsid w:val="00AE4DD1"/>
    <w:rsid w:val="00AF6282"/>
    <w:rsid w:val="00B11EC7"/>
    <w:rsid w:val="00B1236D"/>
    <w:rsid w:val="00B14B3A"/>
    <w:rsid w:val="00B20B3F"/>
    <w:rsid w:val="00B312D4"/>
    <w:rsid w:val="00B34E62"/>
    <w:rsid w:val="00B37D5C"/>
    <w:rsid w:val="00B45D9C"/>
    <w:rsid w:val="00B567C2"/>
    <w:rsid w:val="00B62BF6"/>
    <w:rsid w:val="00B87FA5"/>
    <w:rsid w:val="00BA7F69"/>
    <w:rsid w:val="00BB75CB"/>
    <w:rsid w:val="00BD60D0"/>
    <w:rsid w:val="00BF1E6B"/>
    <w:rsid w:val="00C40D52"/>
    <w:rsid w:val="00C54044"/>
    <w:rsid w:val="00C7186C"/>
    <w:rsid w:val="00CB1D0F"/>
    <w:rsid w:val="00CB3A71"/>
    <w:rsid w:val="00CB48C7"/>
    <w:rsid w:val="00CB748C"/>
    <w:rsid w:val="00CD4689"/>
    <w:rsid w:val="00D10CF1"/>
    <w:rsid w:val="00D14B57"/>
    <w:rsid w:val="00D37081"/>
    <w:rsid w:val="00D61274"/>
    <w:rsid w:val="00D76D60"/>
    <w:rsid w:val="00D80D5F"/>
    <w:rsid w:val="00D84EB5"/>
    <w:rsid w:val="00DB2B1C"/>
    <w:rsid w:val="00DB73FA"/>
    <w:rsid w:val="00DE677B"/>
    <w:rsid w:val="00DF2183"/>
    <w:rsid w:val="00E07FCD"/>
    <w:rsid w:val="00E1203E"/>
    <w:rsid w:val="00E137DC"/>
    <w:rsid w:val="00E46C8F"/>
    <w:rsid w:val="00E650DD"/>
    <w:rsid w:val="00E973C0"/>
    <w:rsid w:val="00EC1A73"/>
    <w:rsid w:val="00ED44B0"/>
    <w:rsid w:val="00EF5F4E"/>
    <w:rsid w:val="00F176E7"/>
    <w:rsid w:val="00F3095C"/>
    <w:rsid w:val="00F35088"/>
    <w:rsid w:val="00F37402"/>
    <w:rsid w:val="00F576C3"/>
    <w:rsid w:val="00F93F9F"/>
    <w:rsid w:val="00FD2753"/>
    <w:rsid w:val="00FD2956"/>
    <w:rsid w:val="00FD2E8F"/>
    <w:rsid w:val="00FE19C8"/>
    <w:rsid w:val="00FE2174"/>
    <w:rsid w:val="00FE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39"/>
    <w:rPr>
      <w:rFonts w:ascii="Calibri" w:eastAsia="Calibri" w:hAnsi="Calibri" w:cs="Times New Roman"/>
    </w:rPr>
  </w:style>
  <w:style w:type="paragraph" w:styleId="Titre1">
    <w:name w:val="heading 1"/>
    <w:basedOn w:val="Normal"/>
    <w:next w:val="Normal"/>
    <w:link w:val="Titre1Car"/>
    <w:uiPriority w:val="9"/>
    <w:qFormat/>
    <w:rsid w:val="007C3639"/>
    <w:pPr>
      <w:keepNext/>
      <w:keepLines/>
      <w:spacing w:before="480" w:after="0" w:line="240" w:lineRule="auto"/>
      <w:outlineLvl w:val="0"/>
    </w:pPr>
    <w:rPr>
      <w:rFonts w:ascii="Cambria" w:eastAsia="MS Gothic" w:hAnsi="Cambria"/>
      <w:b/>
      <w:bCs/>
      <w:color w:val="345A8A"/>
      <w:sz w:val="32"/>
      <w:szCs w:val="32"/>
      <w:lang w:eastAsia="fr-FR"/>
    </w:rPr>
  </w:style>
  <w:style w:type="paragraph" w:styleId="Titre2">
    <w:name w:val="heading 2"/>
    <w:basedOn w:val="Normal"/>
    <w:next w:val="Normal"/>
    <w:link w:val="Titre2Car"/>
    <w:uiPriority w:val="9"/>
    <w:qFormat/>
    <w:rsid w:val="007C3639"/>
    <w:pPr>
      <w:keepNext/>
      <w:keepLines/>
      <w:spacing w:before="200" w:after="0" w:line="240" w:lineRule="auto"/>
      <w:outlineLvl w:val="1"/>
    </w:pPr>
    <w:rPr>
      <w:rFonts w:ascii="Cambria" w:eastAsia="MS Gothic" w:hAnsi="Cambria"/>
      <w:b/>
      <w:bCs/>
      <w:color w:val="4F81BD"/>
      <w:sz w:val="26"/>
      <w:szCs w:val="26"/>
      <w:lang w:eastAsia="fr-FR"/>
    </w:rPr>
  </w:style>
  <w:style w:type="paragraph" w:styleId="Titre3">
    <w:name w:val="heading 3"/>
    <w:basedOn w:val="Normal"/>
    <w:next w:val="Normal"/>
    <w:link w:val="Titre3Car"/>
    <w:uiPriority w:val="9"/>
    <w:unhideWhenUsed/>
    <w:qFormat/>
    <w:rsid w:val="00B123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3639"/>
    <w:rPr>
      <w:rFonts w:ascii="Cambria" w:eastAsia="MS Gothic" w:hAnsi="Cambria" w:cs="Times New Roman"/>
      <w:b/>
      <w:bCs/>
      <w:color w:val="345A8A"/>
      <w:sz w:val="32"/>
      <w:szCs w:val="32"/>
      <w:lang w:eastAsia="fr-FR"/>
    </w:rPr>
  </w:style>
  <w:style w:type="character" w:customStyle="1" w:styleId="Titre2Car">
    <w:name w:val="Titre 2 Car"/>
    <w:basedOn w:val="Policepardfaut"/>
    <w:link w:val="Titre2"/>
    <w:uiPriority w:val="9"/>
    <w:rsid w:val="007C3639"/>
    <w:rPr>
      <w:rFonts w:ascii="Cambria" w:eastAsia="MS Gothic" w:hAnsi="Cambria" w:cs="Times New Roman"/>
      <w:b/>
      <w:bCs/>
      <w:color w:val="4F81BD"/>
      <w:sz w:val="26"/>
      <w:szCs w:val="26"/>
      <w:lang w:eastAsia="fr-FR"/>
    </w:rPr>
  </w:style>
  <w:style w:type="paragraph" w:customStyle="1" w:styleId="Listecouleur-Accent11">
    <w:name w:val="Liste couleur - Accent 11"/>
    <w:aliases w:val="Titre1"/>
    <w:basedOn w:val="Normal"/>
    <w:link w:val="Listecouleur-Accent1Car"/>
    <w:qFormat/>
    <w:rsid w:val="007C3639"/>
    <w:pPr>
      <w:ind w:left="720"/>
      <w:contextualSpacing/>
    </w:pPr>
  </w:style>
  <w:style w:type="paragraph" w:styleId="Pieddepage">
    <w:name w:val="footer"/>
    <w:basedOn w:val="Normal"/>
    <w:link w:val="PieddepageCar"/>
    <w:uiPriority w:val="99"/>
    <w:unhideWhenUsed/>
    <w:rsid w:val="007C363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3639"/>
    <w:rPr>
      <w:rFonts w:ascii="Calibri" w:eastAsia="Calibri" w:hAnsi="Calibri" w:cs="Times New Roman"/>
    </w:rPr>
  </w:style>
  <w:style w:type="character" w:styleId="MachinecrireHTML">
    <w:name w:val="HTML Typewriter"/>
    <w:rsid w:val="007C3639"/>
    <w:rPr>
      <w:rFonts w:ascii="Courier New" w:eastAsia="Arial Unicode MS" w:hAnsi="Courier New" w:cs="Courier New" w:hint="default"/>
      <w:sz w:val="20"/>
      <w:szCs w:val="20"/>
    </w:rPr>
  </w:style>
  <w:style w:type="paragraph" w:styleId="PrformatHTML">
    <w:name w:val="HTML Preformatted"/>
    <w:basedOn w:val="Normal"/>
    <w:link w:val="PrformatHTMLCar"/>
    <w:rsid w:val="007C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eastAsia="fr-FR"/>
    </w:rPr>
  </w:style>
  <w:style w:type="character" w:customStyle="1" w:styleId="PrformatHTMLCar">
    <w:name w:val="Préformaté HTML Car"/>
    <w:basedOn w:val="Policepardfaut"/>
    <w:link w:val="PrformatHTML"/>
    <w:rsid w:val="007C3639"/>
    <w:rPr>
      <w:rFonts w:ascii="Courier New" w:eastAsia="Arial Unicode MS" w:hAnsi="Courier New" w:cs="Courier New"/>
      <w:sz w:val="20"/>
      <w:szCs w:val="20"/>
      <w:lang w:eastAsia="fr-FR"/>
    </w:rPr>
  </w:style>
  <w:style w:type="character" w:styleId="Lienhypertexte">
    <w:name w:val="Hyperlink"/>
    <w:uiPriority w:val="99"/>
    <w:unhideWhenUsed/>
    <w:rsid w:val="007C3639"/>
    <w:rPr>
      <w:color w:val="0000FF"/>
      <w:u w:val="single"/>
    </w:rPr>
  </w:style>
  <w:style w:type="character" w:customStyle="1" w:styleId="Listecouleur-Accent1Car">
    <w:name w:val="Liste couleur - Accent 1 Car"/>
    <w:aliases w:val="Titre1 Car"/>
    <w:basedOn w:val="Policepardfaut"/>
    <w:link w:val="Listecouleur-Accent11"/>
    <w:locked/>
    <w:rsid w:val="007C3639"/>
    <w:rPr>
      <w:rFonts w:ascii="Calibri" w:eastAsia="Calibri" w:hAnsi="Calibri" w:cs="Times New Roman"/>
    </w:rPr>
  </w:style>
  <w:style w:type="paragraph" w:customStyle="1" w:styleId="En-ttedetabledesmatires1">
    <w:name w:val="En-tête de table des matières1"/>
    <w:basedOn w:val="Titre1"/>
    <w:next w:val="Normal"/>
    <w:uiPriority w:val="39"/>
    <w:unhideWhenUsed/>
    <w:qFormat/>
    <w:rsid w:val="007C3639"/>
    <w:pPr>
      <w:spacing w:line="276" w:lineRule="auto"/>
      <w:outlineLvl w:val="9"/>
    </w:pPr>
    <w:rPr>
      <w:color w:val="365F91"/>
      <w:sz w:val="28"/>
      <w:szCs w:val="28"/>
    </w:rPr>
  </w:style>
  <w:style w:type="paragraph" w:styleId="TM2">
    <w:name w:val="toc 2"/>
    <w:basedOn w:val="Normal"/>
    <w:next w:val="Normal"/>
    <w:autoRedefine/>
    <w:uiPriority w:val="39"/>
    <w:unhideWhenUsed/>
    <w:rsid w:val="007C3639"/>
    <w:pPr>
      <w:spacing w:after="0" w:line="240" w:lineRule="auto"/>
      <w:ind w:left="240"/>
    </w:pPr>
    <w:rPr>
      <w:rFonts w:eastAsia="MS Mincho"/>
      <w:b/>
      <w:lang w:eastAsia="fr-FR"/>
    </w:rPr>
  </w:style>
  <w:style w:type="paragraph" w:styleId="TM1">
    <w:name w:val="toc 1"/>
    <w:basedOn w:val="Normal"/>
    <w:next w:val="Normal"/>
    <w:autoRedefine/>
    <w:uiPriority w:val="39"/>
    <w:unhideWhenUsed/>
    <w:rsid w:val="007C3639"/>
    <w:pPr>
      <w:spacing w:before="120" w:after="0" w:line="240" w:lineRule="auto"/>
    </w:pPr>
    <w:rPr>
      <w:rFonts w:eastAsia="MS Mincho"/>
      <w:b/>
      <w:sz w:val="24"/>
      <w:szCs w:val="24"/>
      <w:lang w:eastAsia="fr-FR"/>
    </w:rPr>
  </w:style>
  <w:style w:type="paragraph" w:styleId="En-tte">
    <w:name w:val="header"/>
    <w:basedOn w:val="Normal"/>
    <w:link w:val="En-tteCar"/>
    <w:uiPriority w:val="99"/>
    <w:unhideWhenUsed/>
    <w:rsid w:val="007C3639"/>
    <w:pPr>
      <w:tabs>
        <w:tab w:val="center" w:pos="4536"/>
        <w:tab w:val="right" w:pos="9072"/>
      </w:tabs>
    </w:pPr>
  </w:style>
  <w:style w:type="character" w:customStyle="1" w:styleId="En-tteCar">
    <w:name w:val="En-tête Car"/>
    <w:basedOn w:val="Policepardfaut"/>
    <w:link w:val="En-tte"/>
    <w:uiPriority w:val="99"/>
    <w:rsid w:val="007C3639"/>
    <w:rPr>
      <w:rFonts w:ascii="Calibri" w:eastAsia="Calibri" w:hAnsi="Calibri" w:cs="Times New Roman"/>
    </w:rPr>
  </w:style>
  <w:style w:type="paragraph" w:styleId="Textedebulles">
    <w:name w:val="Balloon Text"/>
    <w:basedOn w:val="Normal"/>
    <w:link w:val="TextedebullesCar"/>
    <w:uiPriority w:val="99"/>
    <w:semiHidden/>
    <w:unhideWhenUsed/>
    <w:rsid w:val="007C3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3639"/>
    <w:rPr>
      <w:rFonts w:ascii="Tahoma" w:eastAsia="Calibri" w:hAnsi="Tahoma" w:cs="Tahoma"/>
      <w:sz w:val="16"/>
      <w:szCs w:val="16"/>
    </w:rPr>
  </w:style>
  <w:style w:type="character" w:customStyle="1" w:styleId="Titre3Car">
    <w:name w:val="Titre 3 Car"/>
    <w:basedOn w:val="Policepardfaut"/>
    <w:link w:val="Titre3"/>
    <w:uiPriority w:val="9"/>
    <w:rsid w:val="00B1236D"/>
    <w:rPr>
      <w:rFonts w:asciiTheme="majorHAnsi" w:eastAsiaTheme="majorEastAsia" w:hAnsiTheme="majorHAnsi" w:cstheme="majorBidi"/>
      <w:b/>
      <w:bCs/>
      <w:color w:val="4F81BD" w:themeColor="accent1"/>
    </w:rPr>
  </w:style>
  <w:style w:type="paragraph" w:styleId="NormalWeb">
    <w:name w:val="Normal (Web)"/>
    <w:basedOn w:val="Normal"/>
    <w:rsid w:val="00B1236D"/>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1236D"/>
    <w:pPr>
      <w:ind w:left="720"/>
      <w:contextualSpacing/>
    </w:pPr>
    <w:rPr>
      <w:rFonts w:eastAsia="Times New Roman"/>
      <w:lang w:eastAsia="fr-FR"/>
    </w:rPr>
  </w:style>
  <w:style w:type="table" w:styleId="Grilledutableau">
    <w:name w:val="Table Grid"/>
    <w:basedOn w:val="TableauNormal"/>
    <w:uiPriority w:val="59"/>
    <w:rsid w:val="00304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ndp.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1114</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2016-05-07T14:12:00Z</dcterms:created>
  <dcterms:modified xsi:type="dcterms:W3CDTF">2016-05-07T19:10:00Z</dcterms:modified>
</cp:coreProperties>
</file>