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D0" w:rsidRDefault="00792356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7.6pt;margin-top:-36.35pt;width:525pt;height:168pt;z-index:251658240">
            <v:textbox>
              <w:txbxContent>
                <w:p w:rsidR="00792356" w:rsidRPr="00792356" w:rsidRDefault="00792356" w:rsidP="00792356">
                  <w:pPr>
                    <w:shd w:val="clear" w:color="auto" w:fill="92D050"/>
                    <w:jc w:val="center"/>
                    <w:rPr>
                      <w:sz w:val="48"/>
                      <w:szCs w:val="48"/>
                    </w:rPr>
                  </w:pPr>
                  <w:r w:rsidRPr="00792356">
                    <w:rPr>
                      <w:rFonts w:asciiTheme="majorHAnsi" w:hAnsiTheme="majorHAnsi"/>
                      <w:b/>
                      <w:bCs/>
                      <w:i/>
                      <w:iCs/>
                      <w:sz w:val="48"/>
                      <w:szCs w:val="48"/>
                    </w:rPr>
                    <w:t>Présentation de la Composante 1 du Programme d’Appui à la Sécurisation et la Gestion Intégrée des Ressources Agro – Pastorales.</w:t>
                  </w:r>
                </w:p>
              </w:txbxContent>
            </v:textbox>
          </v:shape>
        </w:pict>
      </w:r>
    </w:p>
    <w:p w:rsidR="00792356" w:rsidRDefault="00792356"/>
    <w:p w:rsidR="00792356" w:rsidRDefault="00792356"/>
    <w:p w:rsidR="00792356" w:rsidRDefault="00792356"/>
    <w:p w:rsidR="00792356" w:rsidRDefault="00792356"/>
    <w:p w:rsidR="00792356" w:rsidRDefault="00792356"/>
    <w:p w:rsidR="00792356" w:rsidRDefault="00792356"/>
    <w:p w:rsidR="00792356" w:rsidRDefault="00792356"/>
    <w:p w:rsidR="00310BCD" w:rsidRPr="00310BCD" w:rsidRDefault="00310BCD" w:rsidP="00310BCD">
      <w:pPr>
        <w:spacing w:after="120"/>
        <w:jc w:val="center"/>
        <w:rPr>
          <w:rFonts w:asciiTheme="majorHAnsi" w:hAnsiTheme="majorHAnsi"/>
          <w:b/>
          <w:bCs/>
          <w:i/>
          <w:iCs/>
          <w:sz w:val="40"/>
          <w:szCs w:val="40"/>
        </w:rPr>
      </w:pPr>
    </w:p>
    <w:p w:rsidR="00310BCD" w:rsidRDefault="00310BCD" w:rsidP="00310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2356" w:rsidRDefault="00792356" w:rsidP="00310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2356" w:rsidRDefault="00792356" w:rsidP="00310BCD">
      <w:pPr>
        <w:autoSpaceDE w:val="0"/>
        <w:autoSpaceDN w:val="0"/>
        <w:adjustRightInd w:val="0"/>
        <w:jc w:val="both"/>
        <w:rPr>
          <w:rFonts w:eastAsiaTheme="minorHAnsi"/>
          <w:b/>
          <w:sz w:val="32"/>
          <w:szCs w:val="32"/>
          <w:lang w:eastAsia="en-US"/>
        </w:rPr>
      </w:pPr>
      <w:r w:rsidRPr="00792356">
        <w:rPr>
          <w:rFonts w:eastAsiaTheme="minorHAnsi"/>
          <w:b/>
          <w:sz w:val="32"/>
          <w:szCs w:val="32"/>
          <w:lang w:eastAsia="en-US"/>
        </w:rPr>
        <w:t xml:space="preserve">I/ Historique </w:t>
      </w:r>
    </w:p>
    <w:p w:rsidR="00792356" w:rsidRPr="00792356" w:rsidRDefault="00792356" w:rsidP="00310BCD">
      <w:pPr>
        <w:autoSpaceDE w:val="0"/>
        <w:autoSpaceDN w:val="0"/>
        <w:adjustRightInd w:val="0"/>
        <w:jc w:val="both"/>
        <w:rPr>
          <w:rFonts w:eastAsiaTheme="minorHAnsi"/>
          <w:b/>
          <w:sz w:val="10"/>
          <w:szCs w:val="10"/>
          <w:lang w:eastAsia="en-US"/>
        </w:rPr>
      </w:pPr>
    </w:p>
    <w:p w:rsidR="00D152DA" w:rsidRDefault="00310BCD" w:rsidP="00310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C’est s</w:t>
      </w:r>
      <w:r w:rsidRPr="003B163E">
        <w:rPr>
          <w:rFonts w:eastAsiaTheme="minorHAnsi"/>
          <w:lang w:eastAsia="en-US"/>
        </w:rPr>
        <w:t>ur recommandation de l’A</w:t>
      </w:r>
      <w:r>
        <w:rPr>
          <w:rFonts w:eastAsiaTheme="minorHAnsi"/>
          <w:lang w:eastAsia="en-US"/>
        </w:rPr>
        <w:t xml:space="preserve">gence </w:t>
      </w:r>
      <w:r w:rsidRPr="003B163E">
        <w:rPr>
          <w:rFonts w:eastAsiaTheme="minorHAnsi"/>
          <w:lang w:eastAsia="en-US"/>
        </w:rPr>
        <w:t>F</w:t>
      </w:r>
      <w:r>
        <w:rPr>
          <w:rFonts w:eastAsiaTheme="minorHAnsi"/>
          <w:lang w:eastAsia="en-US"/>
        </w:rPr>
        <w:t xml:space="preserve">rançaise de </w:t>
      </w:r>
      <w:r w:rsidRPr="003B163E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éveloppement (AFD)</w:t>
      </w:r>
      <w:r w:rsidRPr="003B163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que </w:t>
      </w:r>
      <w:r w:rsidRPr="003B163E">
        <w:rPr>
          <w:rFonts w:eastAsiaTheme="minorHAnsi"/>
          <w:lang w:eastAsia="en-US"/>
        </w:rPr>
        <w:t xml:space="preserve"> des concertations ont été initiées pour la mise en</w:t>
      </w:r>
      <w:r>
        <w:rPr>
          <w:rFonts w:eastAsiaTheme="minorHAnsi"/>
          <w:lang w:eastAsia="en-US"/>
        </w:rPr>
        <w:t xml:space="preserve"> </w:t>
      </w:r>
      <w:r w:rsidRPr="003B163E">
        <w:rPr>
          <w:rFonts w:eastAsiaTheme="minorHAnsi"/>
          <w:lang w:eastAsia="en-US"/>
        </w:rPr>
        <w:t xml:space="preserve">œuvre de la </w:t>
      </w:r>
      <w:r w:rsidRPr="00310BCD">
        <w:rPr>
          <w:rFonts w:eastAsiaTheme="minorHAnsi"/>
          <w:b/>
          <w:lang w:eastAsia="en-US"/>
        </w:rPr>
        <w:t>composante 1</w:t>
      </w:r>
      <w:r w:rsidRPr="003B163E">
        <w:rPr>
          <w:rFonts w:eastAsiaTheme="minorHAnsi"/>
          <w:lang w:eastAsia="en-US"/>
        </w:rPr>
        <w:t xml:space="preserve"> du programme d’Appui à la Sécurisation et à la Gestion</w:t>
      </w:r>
      <w:r>
        <w:rPr>
          <w:rFonts w:eastAsiaTheme="minorHAnsi"/>
          <w:lang w:eastAsia="en-US"/>
        </w:rPr>
        <w:t xml:space="preserve"> </w:t>
      </w:r>
      <w:r w:rsidRPr="003B163E">
        <w:rPr>
          <w:rFonts w:eastAsiaTheme="minorHAnsi"/>
          <w:lang w:eastAsia="en-US"/>
        </w:rPr>
        <w:t xml:space="preserve">Intégrée des Ressources </w:t>
      </w:r>
      <w:proofErr w:type="spellStart"/>
      <w:r w:rsidRPr="003B163E">
        <w:rPr>
          <w:rFonts w:eastAsiaTheme="minorHAnsi"/>
          <w:lang w:eastAsia="en-US"/>
        </w:rPr>
        <w:t>Agro</w:t>
      </w:r>
      <w:r>
        <w:rPr>
          <w:rFonts w:eastAsiaTheme="minorHAnsi"/>
          <w:lang w:eastAsia="en-US"/>
        </w:rPr>
        <w:t>-</w:t>
      </w:r>
      <w:r w:rsidRPr="003B163E">
        <w:rPr>
          <w:rFonts w:eastAsiaTheme="minorHAnsi"/>
          <w:lang w:eastAsia="en-US"/>
        </w:rPr>
        <w:t>Pastorales</w:t>
      </w:r>
      <w:proofErr w:type="spellEnd"/>
      <w:r w:rsidRPr="003B163E">
        <w:rPr>
          <w:rFonts w:eastAsiaTheme="minorHAnsi"/>
          <w:lang w:eastAsia="en-US"/>
        </w:rPr>
        <w:t xml:space="preserve"> (ASGIRAP) par le </w:t>
      </w:r>
      <w:r>
        <w:rPr>
          <w:rFonts w:eastAsiaTheme="minorHAnsi"/>
          <w:lang w:eastAsia="en-US"/>
        </w:rPr>
        <w:t>Programme National de Développement Participatif (</w:t>
      </w:r>
      <w:r w:rsidRPr="003B163E">
        <w:rPr>
          <w:rFonts w:eastAsiaTheme="minorHAnsi"/>
          <w:lang w:eastAsia="en-US"/>
        </w:rPr>
        <w:t>PNDP</w:t>
      </w:r>
      <w:r>
        <w:rPr>
          <w:rFonts w:eastAsiaTheme="minorHAnsi"/>
          <w:lang w:eastAsia="en-US"/>
        </w:rPr>
        <w:t>)</w:t>
      </w:r>
      <w:r w:rsidRPr="003B163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792356" w:rsidRDefault="00792356" w:rsidP="00310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10BCD" w:rsidRPr="00792356" w:rsidRDefault="00D152DA" w:rsidP="00792356">
      <w:pPr>
        <w:spacing w:after="120"/>
        <w:jc w:val="both"/>
        <w:rPr>
          <w:b/>
          <w:bCs/>
          <w:i/>
          <w:iCs/>
        </w:rPr>
      </w:pPr>
      <w:r>
        <w:rPr>
          <w:rFonts w:eastAsiaTheme="minorHAnsi"/>
          <w:lang w:eastAsia="en-US"/>
        </w:rPr>
        <w:t xml:space="preserve">Des missions </w:t>
      </w:r>
      <w:r w:rsidRPr="003B163E">
        <w:rPr>
          <w:rFonts w:eastAsiaTheme="minorHAnsi"/>
          <w:lang w:eastAsia="en-US"/>
        </w:rPr>
        <w:t>de terrain</w:t>
      </w:r>
      <w:r>
        <w:rPr>
          <w:rFonts w:eastAsiaTheme="minorHAnsi"/>
          <w:lang w:eastAsia="en-US"/>
        </w:rPr>
        <w:t xml:space="preserve"> couplées à des réunions</w:t>
      </w:r>
      <w:r w:rsidRPr="003B163E">
        <w:rPr>
          <w:rFonts w:eastAsiaTheme="minorHAnsi"/>
          <w:lang w:eastAsia="en-US"/>
        </w:rPr>
        <w:t>, sur la base de l’offre technique du</w:t>
      </w:r>
      <w:r>
        <w:rPr>
          <w:rFonts w:eastAsiaTheme="minorHAnsi"/>
          <w:lang w:eastAsia="en-US"/>
        </w:rPr>
        <w:t xml:space="preserve"> </w:t>
      </w:r>
      <w:r w:rsidRPr="003B163E">
        <w:rPr>
          <w:rFonts w:eastAsiaTheme="minorHAnsi"/>
          <w:lang w:eastAsia="en-US"/>
        </w:rPr>
        <w:t>PNDP, ont abouti à la validation d’une méthodologie et la programmation de la</w:t>
      </w:r>
      <w:r>
        <w:rPr>
          <w:rFonts w:eastAsiaTheme="minorHAnsi"/>
          <w:lang w:eastAsia="en-US"/>
        </w:rPr>
        <w:t xml:space="preserve"> </w:t>
      </w:r>
      <w:r w:rsidRPr="003B163E">
        <w:rPr>
          <w:rFonts w:eastAsiaTheme="minorHAnsi"/>
          <w:lang w:eastAsia="en-US"/>
        </w:rPr>
        <w:t>signature d’une convention de partenariat entre les 2 projets le 7 septembre 2016.</w:t>
      </w:r>
      <w:r>
        <w:rPr>
          <w:rFonts w:eastAsiaTheme="minorHAnsi"/>
          <w:lang w:eastAsia="en-US"/>
        </w:rPr>
        <w:t xml:space="preserve"> </w:t>
      </w:r>
      <w:r w:rsidRPr="003B163E">
        <w:rPr>
          <w:rFonts w:eastAsiaTheme="minorHAnsi"/>
          <w:lang w:eastAsia="en-US"/>
        </w:rPr>
        <w:t>Le 10</w:t>
      </w:r>
      <w:r>
        <w:rPr>
          <w:rFonts w:eastAsiaTheme="minorHAnsi"/>
          <w:lang w:eastAsia="en-US"/>
        </w:rPr>
        <w:t xml:space="preserve"> </w:t>
      </w:r>
      <w:r w:rsidRPr="003B163E">
        <w:rPr>
          <w:rFonts w:eastAsiaTheme="minorHAnsi"/>
          <w:lang w:eastAsia="en-US"/>
        </w:rPr>
        <w:t>septembre 2016</w:t>
      </w:r>
      <w:r>
        <w:rPr>
          <w:rFonts w:eastAsiaTheme="minorHAnsi"/>
          <w:lang w:eastAsia="en-US"/>
        </w:rPr>
        <w:t>,</w:t>
      </w:r>
      <w:r w:rsidRPr="003B163E">
        <w:rPr>
          <w:rFonts w:eastAsiaTheme="minorHAnsi"/>
          <w:lang w:eastAsia="en-US"/>
        </w:rPr>
        <w:t xml:space="preserve"> Suite à la non-objection de l’AFD, la convention de collaboration </w:t>
      </w:r>
      <w:r>
        <w:rPr>
          <w:rFonts w:eastAsiaTheme="minorHAnsi"/>
          <w:lang w:eastAsia="en-US"/>
        </w:rPr>
        <w:t>était</w:t>
      </w:r>
      <w:r w:rsidRPr="003B163E">
        <w:rPr>
          <w:rFonts w:eastAsiaTheme="minorHAnsi"/>
          <w:lang w:eastAsia="en-US"/>
        </w:rPr>
        <w:t xml:space="preserve"> signée par les Coordonnateurs Nationaux du PNDP et d’ASGIRAP</w:t>
      </w:r>
      <w:r w:rsidR="00792356">
        <w:rPr>
          <w:rFonts w:eastAsiaTheme="minorHAnsi"/>
          <w:lang w:eastAsia="en-US"/>
        </w:rPr>
        <w:t>.</w:t>
      </w:r>
    </w:p>
    <w:p w:rsidR="00310BCD" w:rsidRPr="00792356" w:rsidRDefault="00310BCD" w:rsidP="00310BCD">
      <w:pPr>
        <w:jc w:val="both"/>
        <w:rPr>
          <w:sz w:val="10"/>
          <w:szCs w:val="10"/>
        </w:rPr>
      </w:pPr>
    </w:p>
    <w:p w:rsidR="00310BCD" w:rsidRPr="00792356" w:rsidRDefault="00792356" w:rsidP="00310BCD">
      <w:pPr>
        <w:spacing w:after="120"/>
        <w:jc w:val="both"/>
        <w:rPr>
          <w:sz w:val="32"/>
          <w:szCs w:val="32"/>
        </w:rPr>
      </w:pPr>
      <w:r w:rsidRPr="00792356">
        <w:rPr>
          <w:b/>
          <w:bCs/>
          <w:sz w:val="32"/>
          <w:szCs w:val="32"/>
        </w:rPr>
        <w:t xml:space="preserve">II/ </w:t>
      </w:r>
      <w:r w:rsidR="00310BCD" w:rsidRPr="00792356">
        <w:rPr>
          <w:b/>
          <w:bCs/>
          <w:sz w:val="32"/>
          <w:szCs w:val="32"/>
        </w:rPr>
        <w:t>Finalité</w:t>
      </w:r>
      <w:r w:rsidR="00310BCD" w:rsidRPr="00792356">
        <w:rPr>
          <w:sz w:val="32"/>
          <w:szCs w:val="32"/>
        </w:rPr>
        <w:t xml:space="preserve"> </w:t>
      </w:r>
    </w:p>
    <w:p w:rsidR="00310BCD" w:rsidRDefault="00310BCD" w:rsidP="00310BCD">
      <w:pPr>
        <w:spacing w:after="120"/>
        <w:jc w:val="both"/>
      </w:pPr>
      <w:r w:rsidRPr="00771409">
        <w:t xml:space="preserve">La finalité </w:t>
      </w:r>
      <w:r>
        <w:t>du programme</w:t>
      </w:r>
      <w:r w:rsidRPr="00771409">
        <w:t xml:space="preserve"> est la réduction de la pauvreté rurale et des conflits locaux dans le Cameroun septentrional et l’amélioration de la résilience aux changements climatiques et économiques</w:t>
      </w:r>
      <w:r w:rsidR="00792356">
        <w:t xml:space="preserve"> </w:t>
      </w:r>
      <w:r w:rsidR="00792356" w:rsidRPr="00B06970">
        <w:t>au regard d’une pau</w:t>
      </w:r>
      <w:r w:rsidR="00792356">
        <w:t>vreté grandissante en ce milieu</w:t>
      </w:r>
      <w:r w:rsidRPr="00771409">
        <w:t xml:space="preserve">. </w:t>
      </w:r>
    </w:p>
    <w:p w:rsidR="00792356" w:rsidRDefault="00792356" w:rsidP="00310BCD">
      <w:pPr>
        <w:spacing w:after="120"/>
        <w:jc w:val="both"/>
        <w:rPr>
          <w:sz w:val="10"/>
          <w:szCs w:val="10"/>
        </w:rPr>
      </w:pPr>
      <w:r w:rsidRPr="00B06970">
        <w:t xml:space="preserve">Dans sa composante 1, l’objectif de manière pratique, </w:t>
      </w:r>
      <w:r w:rsidRPr="00B06970">
        <w:rPr>
          <w:bCs/>
        </w:rPr>
        <w:t>est  d’</w:t>
      </w:r>
      <w:r w:rsidRPr="00B06970">
        <w:t>appuyer  les  cadres locaux de concertation pour l’élaboration participative au niveau des terroirs villageois et communaux des plans d'utilisation, de gestion et d'amélioration des ressources agro-pastorales.</w:t>
      </w:r>
    </w:p>
    <w:p w:rsidR="00792356" w:rsidRPr="00792356" w:rsidRDefault="00792356" w:rsidP="00310BCD">
      <w:pPr>
        <w:spacing w:after="120"/>
        <w:jc w:val="both"/>
        <w:rPr>
          <w:sz w:val="10"/>
          <w:szCs w:val="10"/>
        </w:rPr>
      </w:pPr>
    </w:p>
    <w:p w:rsidR="00310BCD" w:rsidRPr="00792356" w:rsidRDefault="00792356" w:rsidP="00310BCD">
      <w:pPr>
        <w:spacing w:after="120"/>
        <w:jc w:val="both"/>
        <w:rPr>
          <w:sz w:val="32"/>
          <w:szCs w:val="32"/>
        </w:rPr>
      </w:pPr>
      <w:r w:rsidRPr="00792356">
        <w:rPr>
          <w:b/>
          <w:bCs/>
          <w:sz w:val="32"/>
          <w:szCs w:val="32"/>
        </w:rPr>
        <w:t xml:space="preserve">III/ </w:t>
      </w:r>
      <w:r w:rsidR="00310BCD" w:rsidRPr="00792356">
        <w:rPr>
          <w:b/>
          <w:bCs/>
          <w:sz w:val="32"/>
          <w:szCs w:val="32"/>
        </w:rPr>
        <w:t>Objectif spécifique</w:t>
      </w:r>
    </w:p>
    <w:p w:rsidR="00792356" w:rsidRDefault="00792356" w:rsidP="00310BCD">
      <w:pPr>
        <w:spacing w:after="120"/>
        <w:jc w:val="both"/>
        <w:rPr>
          <w:sz w:val="10"/>
          <w:szCs w:val="10"/>
        </w:rPr>
      </w:pPr>
      <w:r w:rsidRPr="00771409">
        <w:t xml:space="preserve">L’objectif spécifique consiste à mettre en place, </w:t>
      </w:r>
      <w:r w:rsidRPr="00771409">
        <w:rPr>
          <w:b/>
        </w:rPr>
        <w:t>sous l’égide des communes</w:t>
      </w:r>
      <w:r w:rsidRPr="00771409">
        <w:t>, des systèmes de gestion concertée, inclusive, durable et économiquement efficace des ressources agricoles et pasto</w:t>
      </w:r>
      <w:r>
        <w:t>rales dans le Nord du Cameroun.</w:t>
      </w:r>
    </w:p>
    <w:p w:rsidR="00792356" w:rsidRPr="00792356" w:rsidRDefault="00792356" w:rsidP="00310BCD">
      <w:pPr>
        <w:spacing w:after="120"/>
        <w:jc w:val="both"/>
        <w:rPr>
          <w:sz w:val="10"/>
          <w:szCs w:val="10"/>
        </w:rPr>
      </w:pPr>
    </w:p>
    <w:p w:rsidR="00792356" w:rsidRPr="00792356" w:rsidRDefault="00792356" w:rsidP="00310BCD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IV/ </w:t>
      </w:r>
      <w:r w:rsidRPr="00792356">
        <w:rPr>
          <w:b/>
          <w:sz w:val="32"/>
          <w:szCs w:val="32"/>
        </w:rPr>
        <w:t>Composantes du Programme ASGIRAP</w:t>
      </w:r>
    </w:p>
    <w:p w:rsidR="00310BCD" w:rsidRPr="00771409" w:rsidRDefault="00310BCD" w:rsidP="00310BCD">
      <w:pPr>
        <w:spacing w:after="120"/>
        <w:jc w:val="both"/>
      </w:pPr>
      <w:r w:rsidRPr="00771409">
        <w:t>Le programme</w:t>
      </w:r>
      <w:r>
        <w:t xml:space="preserve"> </w:t>
      </w:r>
      <w:r w:rsidRPr="00310BCD">
        <w:rPr>
          <w:b/>
          <w:sz w:val="28"/>
          <w:szCs w:val="28"/>
        </w:rPr>
        <w:t>ASGIRAP</w:t>
      </w:r>
      <w:r>
        <w:t xml:space="preserve"> est globalement organisé autour de </w:t>
      </w:r>
      <w:r w:rsidRPr="00771409">
        <w:t xml:space="preserve">quatre composantes : </w:t>
      </w:r>
    </w:p>
    <w:p w:rsidR="00310BCD" w:rsidRPr="00771409" w:rsidRDefault="00310BCD" w:rsidP="00310BCD">
      <w:pPr>
        <w:numPr>
          <w:ilvl w:val="0"/>
          <w:numId w:val="3"/>
        </w:numPr>
        <w:spacing w:after="120"/>
        <w:jc w:val="both"/>
      </w:pPr>
      <w:r w:rsidRPr="001E16E6">
        <w:rPr>
          <w:b/>
        </w:rPr>
        <w:t>La composante 1 « Appui aux instances de concertation spatiale »</w:t>
      </w:r>
      <w:r>
        <w:t xml:space="preserve"> qui </w:t>
      </w:r>
      <w:r w:rsidRPr="00771409">
        <w:t>a</w:t>
      </w:r>
      <w:r>
        <w:t xml:space="preserve"> pour objet </w:t>
      </w:r>
      <w:r w:rsidRPr="00771409">
        <w:t xml:space="preserve">l’appui aux cadres de concertation locaux dans 20 communes et 200 villages sélectionnés à l’intérieur des </w:t>
      </w:r>
      <w:r>
        <w:t xml:space="preserve">59 </w:t>
      </w:r>
      <w:r w:rsidRPr="00771409">
        <w:t xml:space="preserve">communes </w:t>
      </w:r>
      <w:r>
        <w:t>cibles</w:t>
      </w:r>
      <w:r w:rsidRPr="00771409">
        <w:t xml:space="preserve">, pour l’élaboration participative au niveau des terroirs villageois et communaux des plans d'utilisation, de gestion et d'amélioration des ressources agro-pastorales. La composante </w:t>
      </w:r>
      <w:r>
        <w:t xml:space="preserve">entend </w:t>
      </w:r>
      <w:r w:rsidRPr="00771409">
        <w:t xml:space="preserve">initier en outre des démarches de sécurisation foncière (création de proto-cadastre et </w:t>
      </w:r>
      <w:r w:rsidRPr="00771409">
        <w:lastRenderedPageBreak/>
        <w:t>contractualisation à moyen terme pour  la location des terres) dans les villages favorables (un tiers des villages ciblés</w:t>
      </w:r>
      <w:r>
        <w:t>) ;</w:t>
      </w:r>
    </w:p>
    <w:p w:rsidR="00310BCD" w:rsidRPr="00771409" w:rsidRDefault="00310BCD" w:rsidP="00310BCD">
      <w:pPr>
        <w:numPr>
          <w:ilvl w:val="0"/>
          <w:numId w:val="3"/>
        </w:numPr>
        <w:spacing w:after="120"/>
        <w:jc w:val="both"/>
      </w:pPr>
      <w:r w:rsidRPr="001E16E6">
        <w:rPr>
          <w:b/>
        </w:rPr>
        <w:t xml:space="preserve">Les composantes 2 « Amélioration de la durabilité et de la productivité des systèmes de production à base </w:t>
      </w:r>
      <w:r>
        <w:rPr>
          <w:b/>
        </w:rPr>
        <w:t xml:space="preserve">de </w:t>
      </w:r>
      <w:r w:rsidRPr="001E16E6">
        <w:rPr>
          <w:b/>
        </w:rPr>
        <w:t>coton »</w:t>
      </w:r>
      <w:r>
        <w:t xml:space="preserve"> </w:t>
      </w:r>
      <w:r w:rsidRPr="00771409">
        <w:t xml:space="preserve">et </w:t>
      </w:r>
      <w:r w:rsidRPr="001E16E6">
        <w:rPr>
          <w:b/>
        </w:rPr>
        <w:t>3 « Amélioration de la durabilité et de la productivité des systèmes de production non cotonniers »</w:t>
      </w:r>
      <w:r w:rsidRPr="00771409">
        <w:t xml:space="preserve"> visent à faire évoluer les agriculteurs, agro-éleveurs et éleveurs vers des systèmes d’exploitation durables</w:t>
      </w:r>
      <w:r>
        <w:t>. Mises en œuvre respectivement au profit des</w:t>
      </w:r>
      <w:r w:rsidRPr="00771409">
        <w:t xml:space="preserve"> producteurs de coton (qui bénéficient de l’appui de la SODECOTON)</w:t>
      </w:r>
      <w:r>
        <w:t xml:space="preserve"> et des</w:t>
      </w:r>
      <w:r w:rsidRPr="00771409">
        <w:t xml:space="preserve"> producteurs non cotonniers</w:t>
      </w:r>
      <w:r>
        <w:t xml:space="preserve"> (</w:t>
      </w:r>
      <w:r w:rsidRPr="00771409">
        <w:t>agriculteurs, agro-éleveurs et éleveurs</w:t>
      </w:r>
      <w:r>
        <w:t>)</w:t>
      </w:r>
      <w:r w:rsidRPr="00771409">
        <w:t xml:space="preserve"> qui ont pour caractéristiques communes de ne pas être appuyés par la SODECOTON</w:t>
      </w:r>
      <w:r>
        <w:t>, les</w:t>
      </w:r>
      <w:r w:rsidRPr="00771409">
        <w:t xml:space="preserve"> interventions des composantes 2 et 3 découleront </w:t>
      </w:r>
      <w:r>
        <w:t>essentiellement</w:t>
      </w:r>
      <w:r w:rsidRPr="00771409">
        <w:t xml:space="preserve"> des plans d’amélioration des ressources agricoles et pastorales </w:t>
      </w:r>
      <w:r>
        <w:t xml:space="preserve">élaborés </w:t>
      </w:r>
      <w:r w:rsidRPr="00771409">
        <w:t xml:space="preserve">de manière participative </w:t>
      </w:r>
      <w:r>
        <w:t xml:space="preserve">dans le cadre de la composante 1 </w:t>
      </w:r>
      <w:r w:rsidRPr="00771409">
        <w:t>au niveau de chaque village d’intervention et périodiquement mis à jour en fonction de l’évolution du contexte.</w:t>
      </w:r>
    </w:p>
    <w:p w:rsidR="00310BCD" w:rsidRDefault="00310BCD" w:rsidP="00310BCD">
      <w:pPr>
        <w:numPr>
          <w:ilvl w:val="0"/>
          <w:numId w:val="3"/>
        </w:numPr>
        <w:spacing w:after="120"/>
        <w:jc w:val="both"/>
      </w:pPr>
      <w:r w:rsidRPr="00C86380">
        <w:rPr>
          <w:b/>
        </w:rPr>
        <w:t>La composante 4 « Coordination »</w:t>
      </w:r>
      <w:r>
        <w:t xml:space="preserve"> </w:t>
      </w:r>
      <w:r w:rsidRPr="00771409">
        <w:t>a pour objet</w:t>
      </w:r>
      <w:r>
        <w:t xml:space="preserve"> </w:t>
      </w:r>
      <w:r w:rsidRPr="00771409">
        <w:t>la coordination générale du programme, la « formation et la coordination de l’innovation », l’« Appui à l’amélioration des politiques et stratégies touchant à l’aménageme</w:t>
      </w:r>
      <w:r>
        <w:t>nt des espaces agro-pastoraux »</w:t>
      </w:r>
      <w:r w:rsidRPr="00771409">
        <w:t>.</w:t>
      </w:r>
    </w:p>
    <w:p w:rsidR="00792356" w:rsidRDefault="00792356" w:rsidP="00310BCD">
      <w:pPr>
        <w:spacing w:after="120"/>
        <w:jc w:val="both"/>
      </w:pPr>
    </w:p>
    <w:p w:rsidR="00310BCD" w:rsidRPr="00310BCD" w:rsidRDefault="00310BCD" w:rsidP="00310BCD">
      <w:pPr>
        <w:spacing w:after="120"/>
        <w:jc w:val="both"/>
        <w:rPr>
          <w:b/>
        </w:rPr>
      </w:pPr>
      <w:r w:rsidRPr="00310BCD">
        <w:rPr>
          <w:b/>
        </w:rPr>
        <w:t xml:space="preserve">Résumé des composantes </w:t>
      </w:r>
      <w:r w:rsidR="00792356">
        <w:rPr>
          <w:b/>
        </w:rPr>
        <w:t>ASGIRAP et Opérateurs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310BCD" w:rsidTr="00EC216E">
        <w:tc>
          <w:tcPr>
            <w:tcW w:w="4606" w:type="dxa"/>
          </w:tcPr>
          <w:p w:rsidR="00310BCD" w:rsidRPr="00310BCD" w:rsidRDefault="00310BCD" w:rsidP="00310BCD">
            <w:pPr>
              <w:spacing w:after="120"/>
              <w:rPr>
                <w:b/>
                <w:sz w:val="28"/>
                <w:szCs w:val="28"/>
              </w:rPr>
            </w:pPr>
            <w:r w:rsidRPr="00310BCD">
              <w:rPr>
                <w:b/>
                <w:sz w:val="28"/>
                <w:szCs w:val="28"/>
              </w:rPr>
              <w:t>composante</w:t>
            </w:r>
          </w:p>
        </w:tc>
        <w:tc>
          <w:tcPr>
            <w:tcW w:w="4606" w:type="dxa"/>
          </w:tcPr>
          <w:p w:rsidR="00310BCD" w:rsidRPr="00310BCD" w:rsidRDefault="00310BCD" w:rsidP="00310BCD">
            <w:pPr>
              <w:spacing w:after="120"/>
              <w:rPr>
                <w:b/>
                <w:sz w:val="28"/>
                <w:szCs w:val="28"/>
              </w:rPr>
            </w:pPr>
            <w:r w:rsidRPr="00310BCD">
              <w:rPr>
                <w:b/>
                <w:sz w:val="28"/>
                <w:szCs w:val="28"/>
              </w:rPr>
              <w:t>Opérateur</w:t>
            </w:r>
          </w:p>
        </w:tc>
      </w:tr>
      <w:tr w:rsidR="00310BCD" w:rsidTr="00EC216E">
        <w:tc>
          <w:tcPr>
            <w:tcW w:w="4606" w:type="dxa"/>
          </w:tcPr>
          <w:p w:rsidR="00310BCD" w:rsidRDefault="00310BCD" w:rsidP="00EC216E">
            <w:pPr>
              <w:spacing w:after="120"/>
              <w:jc w:val="both"/>
            </w:pPr>
            <w:r>
              <w:t>Appui aux instances de concertation spatiale</w:t>
            </w:r>
          </w:p>
        </w:tc>
        <w:tc>
          <w:tcPr>
            <w:tcW w:w="4606" w:type="dxa"/>
          </w:tcPr>
          <w:p w:rsidR="00310BCD" w:rsidRPr="00310BCD" w:rsidRDefault="00310BCD" w:rsidP="00EC216E">
            <w:pPr>
              <w:spacing w:after="120"/>
              <w:jc w:val="both"/>
              <w:rPr>
                <w:b/>
                <w:sz w:val="40"/>
                <w:szCs w:val="40"/>
              </w:rPr>
            </w:pPr>
            <w:r w:rsidRPr="00310BCD">
              <w:rPr>
                <w:b/>
                <w:sz w:val="40"/>
                <w:szCs w:val="40"/>
              </w:rPr>
              <w:t>PNDP</w:t>
            </w:r>
          </w:p>
        </w:tc>
      </w:tr>
      <w:tr w:rsidR="00310BCD" w:rsidTr="00EC216E">
        <w:tc>
          <w:tcPr>
            <w:tcW w:w="4606" w:type="dxa"/>
          </w:tcPr>
          <w:p w:rsidR="00310BCD" w:rsidRDefault="00310BCD" w:rsidP="00EC216E">
            <w:pPr>
              <w:spacing w:after="120"/>
              <w:jc w:val="both"/>
            </w:pPr>
            <w:r>
              <w:t>Amélioration de la durabilité et de la productivité des systèmes de production à base de coton</w:t>
            </w:r>
          </w:p>
        </w:tc>
        <w:tc>
          <w:tcPr>
            <w:tcW w:w="4606" w:type="dxa"/>
          </w:tcPr>
          <w:p w:rsidR="00310BCD" w:rsidRPr="00310BCD" w:rsidRDefault="00310BCD" w:rsidP="00EC216E">
            <w:pPr>
              <w:spacing w:after="120"/>
              <w:jc w:val="both"/>
              <w:rPr>
                <w:b/>
              </w:rPr>
            </w:pPr>
            <w:r w:rsidRPr="00310BCD">
              <w:rPr>
                <w:b/>
              </w:rPr>
              <w:t>SODECOTON</w:t>
            </w:r>
          </w:p>
        </w:tc>
      </w:tr>
      <w:tr w:rsidR="00310BCD" w:rsidTr="00EC216E">
        <w:tc>
          <w:tcPr>
            <w:tcW w:w="4606" w:type="dxa"/>
          </w:tcPr>
          <w:p w:rsidR="00310BCD" w:rsidRDefault="00310BCD" w:rsidP="00EC216E">
            <w:pPr>
              <w:spacing w:after="120"/>
              <w:jc w:val="both"/>
            </w:pPr>
            <w:r>
              <w:t>Amélioration de la durabilité et de la productivité des systèmes de productions non cotonniers</w:t>
            </w:r>
          </w:p>
        </w:tc>
        <w:tc>
          <w:tcPr>
            <w:tcW w:w="4606" w:type="dxa"/>
          </w:tcPr>
          <w:p w:rsidR="00310BCD" w:rsidRPr="00310BCD" w:rsidRDefault="00310BCD" w:rsidP="00EC216E">
            <w:pPr>
              <w:spacing w:after="120"/>
              <w:jc w:val="both"/>
              <w:rPr>
                <w:b/>
              </w:rPr>
            </w:pPr>
            <w:r w:rsidRPr="00310BCD">
              <w:rPr>
                <w:b/>
              </w:rPr>
              <w:t>ACEFA</w:t>
            </w:r>
          </w:p>
        </w:tc>
      </w:tr>
      <w:tr w:rsidR="00310BCD" w:rsidTr="00EC216E">
        <w:tc>
          <w:tcPr>
            <w:tcW w:w="4606" w:type="dxa"/>
          </w:tcPr>
          <w:p w:rsidR="00310BCD" w:rsidRDefault="00310BCD" w:rsidP="00EC216E">
            <w:pPr>
              <w:spacing w:after="120"/>
              <w:jc w:val="both"/>
            </w:pPr>
            <w:r>
              <w:t>Coordination</w:t>
            </w:r>
          </w:p>
        </w:tc>
        <w:tc>
          <w:tcPr>
            <w:tcW w:w="4606" w:type="dxa"/>
          </w:tcPr>
          <w:p w:rsidR="00310BCD" w:rsidRPr="00310BCD" w:rsidRDefault="00310BCD" w:rsidP="00EC216E">
            <w:pPr>
              <w:spacing w:after="120"/>
              <w:jc w:val="both"/>
              <w:rPr>
                <w:b/>
              </w:rPr>
            </w:pPr>
            <w:r w:rsidRPr="00310BCD">
              <w:rPr>
                <w:b/>
              </w:rPr>
              <w:t>ASGIRAP</w:t>
            </w:r>
          </w:p>
        </w:tc>
      </w:tr>
    </w:tbl>
    <w:p w:rsidR="00310BCD" w:rsidRDefault="00310BCD" w:rsidP="00310BCD">
      <w:pPr>
        <w:spacing w:after="120"/>
        <w:jc w:val="both"/>
      </w:pPr>
    </w:p>
    <w:p w:rsidR="00310BCD" w:rsidRPr="00792356" w:rsidRDefault="00792356" w:rsidP="00310BCD">
      <w:pPr>
        <w:spacing w:after="120"/>
        <w:jc w:val="both"/>
        <w:rPr>
          <w:sz w:val="32"/>
          <w:szCs w:val="32"/>
        </w:rPr>
      </w:pPr>
      <w:r w:rsidRPr="00792356">
        <w:rPr>
          <w:b/>
          <w:bCs/>
          <w:sz w:val="32"/>
          <w:szCs w:val="32"/>
        </w:rPr>
        <w:t xml:space="preserve">V/ </w:t>
      </w:r>
      <w:r w:rsidR="00310BCD" w:rsidRPr="00792356">
        <w:rPr>
          <w:b/>
          <w:bCs/>
          <w:sz w:val="32"/>
          <w:szCs w:val="32"/>
        </w:rPr>
        <w:t>Zone d’intervention</w:t>
      </w:r>
      <w:r w:rsidR="00310BCD" w:rsidRPr="00792356">
        <w:rPr>
          <w:sz w:val="32"/>
          <w:szCs w:val="32"/>
        </w:rPr>
        <w:t xml:space="preserve"> </w:t>
      </w:r>
    </w:p>
    <w:p w:rsidR="00310BCD" w:rsidRPr="00310BCD" w:rsidRDefault="00310BCD" w:rsidP="00310BCD">
      <w:pPr>
        <w:spacing w:after="120"/>
        <w:jc w:val="both"/>
      </w:pPr>
      <w:r w:rsidRPr="00310BCD">
        <w:t>Une vingtaine de communes (soit 1/3 des communes de la zone), et environ 200 villages du Septentrion</w:t>
      </w:r>
    </w:p>
    <w:p w:rsidR="00792356" w:rsidRPr="00F62EF1" w:rsidRDefault="00792356" w:rsidP="00310BCD">
      <w:pPr>
        <w:spacing w:after="120"/>
        <w:jc w:val="both"/>
        <w:rPr>
          <w:b/>
          <w:bCs/>
          <w:sz w:val="10"/>
          <w:szCs w:val="10"/>
        </w:rPr>
      </w:pPr>
    </w:p>
    <w:p w:rsidR="00310BCD" w:rsidRPr="00F62EF1" w:rsidRDefault="00792356" w:rsidP="00310BCD">
      <w:pPr>
        <w:spacing w:after="120"/>
        <w:jc w:val="both"/>
        <w:rPr>
          <w:sz w:val="32"/>
          <w:szCs w:val="32"/>
        </w:rPr>
      </w:pPr>
      <w:r w:rsidRPr="00F62EF1">
        <w:rPr>
          <w:b/>
          <w:bCs/>
          <w:sz w:val="32"/>
          <w:szCs w:val="32"/>
        </w:rPr>
        <w:t xml:space="preserve">VI/ </w:t>
      </w:r>
      <w:r w:rsidR="00310BCD" w:rsidRPr="00F62EF1">
        <w:rPr>
          <w:b/>
          <w:bCs/>
          <w:sz w:val="32"/>
          <w:szCs w:val="32"/>
        </w:rPr>
        <w:t>Budget du Programme et de la composante</w:t>
      </w:r>
      <w:r w:rsidR="00310BCD" w:rsidRPr="00F62EF1">
        <w:rPr>
          <w:sz w:val="32"/>
          <w:szCs w:val="32"/>
        </w:rPr>
        <w:t xml:space="preserve"> </w:t>
      </w:r>
    </w:p>
    <w:p w:rsidR="00310BCD" w:rsidRPr="00310BCD" w:rsidRDefault="00310BCD" w:rsidP="00310BCD">
      <w:pPr>
        <w:spacing w:after="120"/>
        <w:jc w:val="both"/>
      </w:pPr>
      <w:r w:rsidRPr="00310BCD">
        <w:rPr>
          <w:lang w:val="it-IT"/>
        </w:rPr>
        <w:t>6,559 milliards donc 1 176 200 000 FCFA pour la composante 1</w:t>
      </w:r>
    </w:p>
    <w:p w:rsidR="00310BCD" w:rsidRPr="00310BCD" w:rsidRDefault="00310BCD" w:rsidP="00310BCD">
      <w:pPr>
        <w:spacing w:after="120"/>
        <w:jc w:val="both"/>
      </w:pPr>
      <w:r w:rsidRPr="00310BCD">
        <w:rPr>
          <w:b/>
          <w:bCs/>
          <w:u w:val="single"/>
        </w:rPr>
        <w:t>Durée</w:t>
      </w:r>
      <w:r w:rsidRPr="00310BCD">
        <w:rPr>
          <w:b/>
          <w:bCs/>
        </w:rPr>
        <w:t xml:space="preserve">                                       </w:t>
      </w:r>
      <w:r w:rsidRPr="00310BCD">
        <w:rPr>
          <w:b/>
          <w:bCs/>
          <w:u w:val="single"/>
        </w:rPr>
        <w:t>Financement</w:t>
      </w:r>
    </w:p>
    <w:p w:rsidR="00310BCD" w:rsidRPr="00310BCD" w:rsidRDefault="00310BCD" w:rsidP="00310BCD">
      <w:pPr>
        <w:spacing w:after="120"/>
        <w:jc w:val="both"/>
      </w:pPr>
      <w:r w:rsidRPr="00310BCD">
        <w:t>5 ans                                        C2D</w:t>
      </w:r>
    </w:p>
    <w:p w:rsidR="00310BCD" w:rsidRPr="00310BCD" w:rsidRDefault="00310BCD" w:rsidP="00310BCD">
      <w:pPr>
        <w:spacing w:after="120"/>
        <w:jc w:val="both"/>
      </w:pPr>
      <w:r w:rsidRPr="00310BCD">
        <w:rPr>
          <w:b/>
          <w:bCs/>
          <w:u w:val="single"/>
        </w:rPr>
        <w:t>Maitrise d’ouvrage</w:t>
      </w:r>
    </w:p>
    <w:p w:rsidR="00310BCD" w:rsidRPr="00310BCD" w:rsidRDefault="00310BCD" w:rsidP="00310BCD">
      <w:pPr>
        <w:spacing w:after="120"/>
        <w:jc w:val="both"/>
      </w:pPr>
      <w:r w:rsidRPr="00310BCD">
        <w:t xml:space="preserve">MINADER et MINEPIA </w:t>
      </w:r>
    </w:p>
    <w:p w:rsidR="00310BCD" w:rsidRDefault="00310BCD" w:rsidP="00310BCD">
      <w:pPr>
        <w:spacing w:after="120"/>
        <w:jc w:val="both"/>
      </w:pPr>
    </w:p>
    <w:p w:rsidR="00310BCD" w:rsidRDefault="00310BCD" w:rsidP="00310BCD">
      <w:pPr>
        <w:spacing w:after="120"/>
        <w:jc w:val="both"/>
      </w:pPr>
    </w:p>
    <w:p w:rsidR="00310BCD" w:rsidRPr="00F62EF1" w:rsidRDefault="00792356" w:rsidP="00310BCD">
      <w:pPr>
        <w:spacing w:after="120"/>
        <w:jc w:val="both"/>
        <w:rPr>
          <w:sz w:val="10"/>
          <w:szCs w:val="10"/>
        </w:rPr>
      </w:pPr>
      <w:r w:rsidRPr="00F62EF1">
        <w:rPr>
          <w:b/>
          <w:bCs/>
          <w:sz w:val="32"/>
          <w:szCs w:val="32"/>
        </w:rPr>
        <w:lastRenderedPageBreak/>
        <w:t xml:space="preserve">VII/ </w:t>
      </w:r>
      <w:r w:rsidR="00310BCD" w:rsidRPr="00F62EF1">
        <w:rPr>
          <w:b/>
          <w:bCs/>
          <w:sz w:val="32"/>
          <w:szCs w:val="32"/>
        </w:rPr>
        <w:t>Résultats attendus</w:t>
      </w:r>
      <w:r w:rsidR="00310BCD" w:rsidRPr="00F62EF1">
        <w:rPr>
          <w:sz w:val="32"/>
          <w:szCs w:val="32"/>
        </w:rPr>
        <w:t xml:space="preserve"> </w:t>
      </w:r>
    </w:p>
    <w:p w:rsidR="00792356" w:rsidRPr="00792356" w:rsidRDefault="00792356" w:rsidP="00310BCD">
      <w:pPr>
        <w:spacing w:after="120"/>
        <w:jc w:val="both"/>
        <w:rPr>
          <w:sz w:val="10"/>
          <w:szCs w:val="10"/>
        </w:rPr>
      </w:pP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20 Comités Communaux et 200 comités villageois de Concertation constitués et fonctionnels 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Des plans communaux et villageois d’aménagement, d’amélioration des ressources agropastorales élaborés et validés 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Des règles d’accès et de gestion des ressources agropastorales élaborées et acceptées par les différents utilisateurs 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 xml:space="preserve">07 communes ont testé un système d’enregistrement des droits fonciers et des baux de fermage pluriannuels ; 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Des contrats de location des terres négociés à moyen terme dans 1/3 des 200 villages d’intervention 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 xml:space="preserve">26 000 ha de parcelles de culture aménagés (bandes </w:t>
      </w:r>
      <w:proofErr w:type="spellStart"/>
      <w:r w:rsidRPr="00310BCD">
        <w:t>végétalisées</w:t>
      </w:r>
      <w:proofErr w:type="spellEnd"/>
      <w:r w:rsidRPr="00310BCD">
        <w:t>, ados et cordons pierreux) pour la lutte antiérosive 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1 200 biefs construits pour la lutte antiérosive et la gestion de l’eau 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 xml:space="preserve">02 mares et 15 à 20 puits/forages pastoraux construits ; 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 xml:space="preserve">10 à 30 mares, puits ou forages pastoraux réhabilités ; 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Amélioration des activités des producteurs par l’accès aux matériels et aux équipements (charrettes, semoirs, porte – tout, débroussailleuses, etc.) 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Amélioration des techniques agro-écologiques (préservation des ligneux, plantation d’arbres, etc.) 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 xml:space="preserve">Amélioration de la production agricole et pastorale (accroissement de la production agricole et pastorale) 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 xml:space="preserve">Rédaction du guide méthodologique; 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Sélection de 04 communes-test (</w:t>
      </w:r>
      <w:proofErr w:type="spellStart"/>
      <w:r w:rsidRPr="00310BCD">
        <w:t>Pitoa</w:t>
      </w:r>
      <w:proofErr w:type="spellEnd"/>
      <w:r w:rsidRPr="00310BCD">
        <w:t xml:space="preserve">, </w:t>
      </w:r>
      <w:proofErr w:type="spellStart"/>
      <w:r w:rsidRPr="00310BCD">
        <w:t>Touroua</w:t>
      </w:r>
      <w:proofErr w:type="spellEnd"/>
      <w:r w:rsidRPr="00310BCD">
        <w:t xml:space="preserve">, </w:t>
      </w:r>
      <w:proofErr w:type="spellStart"/>
      <w:r w:rsidRPr="00310BCD">
        <w:t>Gaschiga</w:t>
      </w:r>
      <w:proofErr w:type="spellEnd"/>
      <w:r w:rsidRPr="00310BCD">
        <w:t xml:space="preserve"> et </w:t>
      </w:r>
      <w:proofErr w:type="spellStart"/>
      <w:r w:rsidRPr="00310BCD">
        <w:t>Mindif</w:t>
      </w:r>
      <w:proofErr w:type="spellEnd"/>
      <w:r w:rsidRPr="00310BCD">
        <w:t>);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 xml:space="preserve">Sélection et formation de 08 animateurs; 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Constitution des comités communaux dans les 4 communes;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Zonage, diagnostic communal et choix des grappes de villages d’intervention;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Constitution des comités villageois de concertation dans les villages d’intervention;</w:t>
      </w:r>
    </w:p>
    <w:p w:rsidR="00330CBE" w:rsidRPr="00310BCD" w:rsidRDefault="00D152DA" w:rsidP="00310BCD">
      <w:pPr>
        <w:numPr>
          <w:ilvl w:val="0"/>
          <w:numId w:val="5"/>
        </w:numPr>
        <w:spacing w:after="120"/>
        <w:jc w:val="both"/>
      </w:pPr>
      <w:r w:rsidRPr="00310BCD">
        <w:t>Elaboration en cours des plans d’aménagement des terroirs villageois et des plans d’amélioration des ressources agropastorales</w:t>
      </w:r>
    </w:p>
    <w:p w:rsidR="00310BCD" w:rsidRPr="00310BCD" w:rsidRDefault="00310BCD" w:rsidP="00310BCD">
      <w:pPr>
        <w:spacing w:after="120"/>
        <w:jc w:val="both"/>
      </w:pPr>
    </w:p>
    <w:p w:rsidR="00310BCD" w:rsidRPr="00792356" w:rsidRDefault="00792356" w:rsidP="00792356">
      <w:pPr>
        <w:spacing w:before="120" w:after="120"/>
        <w:jc w:val="both"/>
        <w:rPr>
          <w:b/>
          <w:sz w:val="32"/>
          <w:szCs w:val="32"/>
        </w:rPr>
      </w:pPr>
      <w:r w:rsidRPr="00792356">
        <w:rPr>
          <w:b/>
          <w:sz w:val="32"/>
          <w:szCs w:val="32"/>
        </w:rPr>
        <w:t xml:space="preserve">VIII/ </w:t>
      </w:r>
      <w:r w:rsidR="00310BCD" w:rsidRPr="00792356">
        <w:rPr>
          <w:b/>
          <w:sz w:val="32"/>
          <w:szCs w:val="32"/>
        </w:rPr>
        <w:t>Mandat attendu du PNDP</w:t>
      </w:r>
    </w:p>
    <w:p w:rsidR="00310BCD" w:rsidRDefault="00310BCD" w:rsidP="00310BCD">
      <w:pPr>
        <w:spacing w:after="120"/>
        <w:jc w:val="both"/>
      </w:pPr>
      <w:r>
        <w:t xml:space="preserve">Sur la base des résultats obtenus lors de la phase pilote, il est attendu que le PNDP puisse poursuivre l’opération dans les 04 </w:t>
      </w:r>
      <w:proofErr w:type="gramStart"/>
      <w:r>
        <w:t>communes test</w:t>
      </w:r>
      <w:proofErr w:type="gramEnd"/>
      <w:r>
        <w:t xml:space="preserve"> tout en l’étendant dans les 16 communes restantes à sélectionner sur la base des critères pertinents et objectifs. Les principales missions lors de cette extension sont les suivantes :</w:t>
      </w:r>
    </w:p>
    <w:p w:rsidR="00310BCD" w:rsidRDefault="00310BCD" w:rsidP="00310BCD">
      <w:pPr>
        <w:numPr>
          <w:ilvl w:val="0"/>
          <w:numId w:val="2"/>
        </w:numPr>
        <w:spacing w:after="120"/>
        <w:jc w:val="both"/>
      </w:pPr>
      <w:r>
        <w:t>Sélectionner les16 autres communes bénéficiaires, sur la base des critères objectifs et partagés avec tous les acteurs ;</w:t>
      </w:r>
    </w:p>
    <w:p w:rsidR="00310BCD" w:rsidRDefault="00310BCD" w:rsidP="00310BCD">
      <w:pPr>
        <w:numPr>
          <w:ilvl w:val="0"/>
          <w:numId w:val="2"/>
        </w:numPr>
        <w:spacing w:after="120"/>
        <w:jc w:val="both"/>
      </w:pPr>
      <w:r>
        <w:lastRenderedPageBreak/>
        <w:t>Apprécier la méthodologie utilisée et la compléter si nécessaire ;</w:t>
      </w:r>
    </w:p>
    <w:p w:rsidR="00310BCD" w:rsidRDefault="00310BCD" w:rsidP="00310BCD">
      <w:pPr>
        <w:numPr>
          <w:ilvl w:val="0"/>
          <w:numId w:val="2"/>
        </w:numPr>
        <w:spacing w:after="120"/>
        <w:jc w:val="both"/>
      </w:pPr>
      <w:r>
        <w:t>définir un plan d’actions pour la mise en œuvre des opérations sur le terrain ;</w:t>
      </w:r>
    </w:p>
    <w:p w:rsidR="00310BCD" w:rsidRPr="00197760" w:rsidRDefault="00310BCD" w:rsidP="00310BCD">
      <w:pPr>
        <w:numPr>
          <w:ilvl w:val="0"/>
          <w:numId w:val="2"/>
        </w:numPr>
        <w:spacing w:after="120"/>
        <w:jc w:val="both"/>
      </w:pPr>
      <w:r>
        <w:t>I</w:t>
      </w:r>
      <w:r w:rsidRPr="00197760">
        <w:t xml:space="preserve">dentifier et constituer </w:t>
      </w:r>
      <w:r>
        <w:t>l</w:t>
      </w:r>
      <w:r w:rsidRPr="00197760">
        <w:t>es Comités Communaux de Concertation (CCC);</w:t>
      </w:r>
    </w:p>
    <w:p w:rsidR="00310BCD" w:rsidRPr="00197760" w:rsidRDefault="00310BCD" w:rsidP="00310BCD">
      <w:pPr>
        <w:numPr>
          <w:ilvl w:val="0"/>
          <w:numId w:val="2"/>
        </w:numPr>
        <w:spacing w:after="120"/>
        <w:jc w:val="both"/>
      </w:pPr>
      <w:r>
        <w:t>R</w:t>
      </w:r>
      <w:r w:rsidRPr="00197760">
        <w:t>éaliser dans chacune des communes un diagnostic et un zonage qui permettront de sélectionner 2 à 3 villages d’intervention pour le programme ;</w:t>
      </w:r>
    </w:p>
    <w:p w:rsidR="00310BCD" w:rsidRPr="00197760" w:rsidRDefault="00310BCD" w:rsidP="00310BCD">
      <w:pPr>
        <w:numPr>
          <w:ilvl w:val="0"/>
          <w:numId w:val="2"/>
        </w:numPr>
        <w:spacing w:after="120"/>
        <w:jc w:val="both"/>
      </w:pPr>
      <w:r>
        <w:t>C</w:t>
      </w:r>
      <w:r w:rsidRPr="00197760">
        <w:t>réer dans chaque village d’intervention un comité de concertation ;</w:t>
      </w:r>
    </w:p>
    <w:p w:rsidR="00310BCD" w:rsidRPr="00197760" w:rsidRDefault="00310BCD" w:rsidP="00310BCD">
      <w:pPr>
        <w:numPr>
          <w:ilvl w:val="0"/>
          <w:numId w:val="2"/>
        </w:numPr>
        <w:spacing w:after="120"/>
        <w:jc w:val="both"/>
      </w:pPr>
      <w:r>
        <w:t>R</w:t>
      </w:r>
      <w:r w:rsidRPr="00197760">
        <w:t>éaliser dans chaque village un diagnostic qui permet de délimiter le terroir et les espaces, d’élaborer les plans d’aménagement</w:t>
      </w:r>
      <w:r>
        <w:t xml:space="preserve"> et</w:t>
      </w:r>
      <w:r w:rsidRPr="00197760">
        <w:t xml:space="preserve"> d’amélioration des ressources agropastorales et des systèmes de production; </w:t>
      </w:r>
    </w:p>
    <w:p w:rsidR="00310BCD" w:rsidRPr="00197760" w:rsidRDefault="00310BCD" w:rsidP="00310BCD">
      <w:pPr>
        <w:numPr>
          <w:ilvl w:val="0"/>
          <w:numId w:val="2"/>
        </w:numPr>
        <w:spacing w:after="120"/>
        <w:jc w:val="both"/>
      </w:pPr>
      <w:r>
        <w:t>F</w:t>
      </w:r>
      <w:r w:rsidRPr="00197760">
        <w:t xml:space="preserve">aire valider les résultats issus de la concertation et engager la mise en œuvre des plans élaborés et des </w:t>
      </w:r>
      <w:r>
        <w:t>actions de sécurisation</w:t>
      </w:r>
      <w:r w:rsidRPr="00197760">
        <w:t xml:space="preserve"> foncièr</w:t>
      </w:r>
      <w:r>
        <w:t>e</w:t>
      </w:r>
      <w:r w:rsidRPr="00197760">
        <w:t xml:space="preserve">; </w:t>
      </w:r>
    </w:p>
    <w:p w:rsidR="00310BCD" w:rsidRDefault="00310BCD" w:rsidP="00310BCD">
      <w:pPr>
        <w:numPr>
          <w:ilvl w:val="0"/>
          <w:numId w:val="2"/>
        </w:numPr>
        <w:spacing w:after="120"/>
        <w:jc w:val="both"/>
      </w:pPr>
      <w:r>
        <w:t>E</w:t>
      </w:r>
      <w:r w:rsidRPr="00197760">
        <w:t>ffectuer le suivi des premières actions d’amélioration des ressources agropastorales</w:t>
      </w:r>
      <w:r>
        <w:t>.</w:t>
      </w:r>
    </w:p>
    <w:p w:rsidR="00310BCD" w:rsidRDefault="00310BCD"/>
    <w:p w:rsidR="00310BCD" w:rsidRDefault="00310BCD" w:rsidP="00310BCD">
      <w:pPr>
        <w:jc w:val="both"/>
      </w:pPr>
    </w:p>
    <w:p w:rsidR="00310BCD" w:rsidRPr="003B163E" w:rsidRDefault="00310BCD" w:rsidP="00310B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163E">
        <w:rPr>
          <w:rFonts w:eastAsiaTheme="minorHAnsi"/>
          <w:lang w:eastAsia="en-US"/>
        </w:rPr>
        <w:t xml:space="preserve"> </w:t>
      </w:r>
    </w:p>
    <w:p w:rsidR="00310BCD" w:rsidRDefault="00310BCD"/>
    <w:sectPr w:rsidR="00310BCD" w:rsidSect="008F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D28"/>
    <w:multiLevelType w:val="multilevel"/>
    <w:tmpl w:val="5210C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">
    <w:nsid w:val="1FDA315D"/>
    <w:multiLevelType w:val="hybridMultilevel"/>
    <w:tmpl w:val="F5AA02AC"/>
    <w:lvl w:ilvl="0" w:tplc="C65671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611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220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646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031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445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0E3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615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E85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706EC"/>
    <w:multiLevelType w:val="hybridMultilevel"/>
    <w:tmpl w:val="75AA7E74"/>
    <w:lvl w:ilvl="0" w:tplc="C2AE41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422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6C4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82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17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CA1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CC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AD4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6A0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40625"/>
    <w:multiLevelType w:val="multilevel"/>
    <w:tmpl w:val="E1762F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">
    <w:nsid w:val="33D8114E"/>
    <w:multiLevelType w:val="hybridMultilevel"/>
    <w:tmpl w:val="71869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0C83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20EF"/>
    <w:multiLevelType w:val="hybridMultilevel"/>
    <w:tmpl w:val="5A4A4E66"/>
    <w:lvl w:ilvl="0" w:tplc="06F68E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B2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44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832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2C4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EE9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C88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048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092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04469"/>
    <w:multiLevelType w:val="hybridMultilevel"/>
    <w:tmpl w:val="41583C2C"/>
    <w:lvl w:ilvl="0" w:tplc="CE54F9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40D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A1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80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1C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C1C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EF3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A5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C82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440F9"/>
    <w:multiLevelType w:val="hybridMultilevel"/>
    <w:tmpl w:val="975042E8"/>
    <w:lvl w:ilvl="0" w:tplc="232CB4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4E2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47A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65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622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490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806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64F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697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6024B"/>
    <w:multiLevelType w:val="hybridMultilevel"/>
    <w:tmpl w:val="6BE236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91570"/>
    <w:multiLevelType w:val="hybridMultilevel"/>
    <w:tmpl w:val="4B161018"/>
    <w:lvl w:ilvl="0" w:tplc="B5FC20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10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251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E4C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62C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CA3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A41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C21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E93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242D15"/>
    <w:multiLevelType w:val="hybridMultilevel"/>
    <w:tmpl w:val="6552659A"/>
    <w:lvl w:ilvl="0" w:tplc="2FC049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004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410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212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61D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C0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40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C1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6E6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BCD"/>
    <w:rsid w:val="00000594"/>
    <w:rsid w:val="00000D10"/>
    <w:rsid w:val="00001EE3"/>
    <w:rsid w:val="000026EA"/>
    <w:rsid w:val="00006977"/>
    <w:rsid w:val="00011316"/>
    <w:rsid w:val="00020FA6"/>
    <w:rsid w:val="00023F62"/>
    <w:rsid w:val="00025F24"/>
    <w:rsid w:val="000305AF"/>
    <w:rsid w:val="00033ABB"/>
    <w:rsid w:val="00033F07"/>
    <w:rsid w:val="00036AA5"/>
    <w:rsid w:val="00037D40"/>
    <w:rsid w:val="00044BE7"/>
    <w:rsid w:val="0004708C"/>
    <w:rsid w:val="00053057"/>
    <w:rsid w:val="00053832"/>
    <w:rsid w:val="0005479B"/>
    <w:rsid w:val="00062313"/>
    <w:rsid w:val="000662F2"/>
    <w:rsid w:val="00071A0A"/>
    <w:rsid w:val="000777B7"/>
    <w:rsid w:val="00077A69"/>
    <w:rsid w:val="00083D7F"/>
    <w:rsid w:val="0008504B"/>
    <w:rsid w:val="000969E0"/>
    <w:rsid w:val="0009729E"/>
    <w:rsid w:val="000A16CD"/>
    <w:rsid w:val="000B2741"/>
    <w:rsid w:val="000B4205"/>
    <w:rsid w:val="000C38AE"/>
    <w:rsid w:val="000C4829"/>
    <w:rsid w:val="000C585D"/>
    <w:rsid w:val="000D5B06"/>
    <w:rsid w:val="000D7566"/>
    <w:rsid w:val="000E0F8B"/>
    <w:rsid w:val="000E3C88"/>
    <w:rsid w:val="000E7F20"/>
    <w:rsid w:val="000F5F79"/>
    <w:rsid w:val="00104584"/>
    <w:rsid w:val="00105BA5"/>
    <w:rsid w:val="001249C7"/>
    <w:rsid w:val="001265DF"/>
    <w:rsid w:val="00131976"/>
    <w:rsid w:val="0013410D"/>
    <w:rsid w:val="001349CB"/>
    <w:rsid w:val="00135FD3"/>
    <w:rsid w:val="00140ED2"/>
    <w:rsid w:val="00150B93"/>
    <w:rsid w:val="001537C8"/>
    <w:rsid w:val="00156736"/>
    <w:rsid w:val="00192115"/>
    <w:rsid w:val="00195358"/>
    <w:rsid w:val="001A012C"/>
    <w:rsid w:val="001A6BF1"/>
    <w:rsid w:val="001B4A1E"/>
    <w:rsid w:val="001C1386"/>
    <w:rsid w:val="001C7005"/>
    <w:rsid w:val="001C7BDD"/>
    <w:rsid w:val="001D1F13"/>
    <w:rsid w:val="001D5EA2"/>
    <w:rsid w:val="001D76A5"/>
    <w:rsid w:val="001F2D57"/>
    <w:rsid w:val="001F788B"/>
    <w:rsid w:val="001F7D98"/>
    <w:rsid w:val="00200C37"/>
    <w:rsid w:val="00202E30"/>
    <w:rsid w:val="002052D1"/>
    <w:rsid w:val="002073F1"/>
    <w:rsid w:val="00212591"/>
    <w:rsid w:val="00214DD7"/>
    <w:rsid w:val="0021546C"/>
    <w:rsid w:val="002170BC"/>
    <w:rsid w:val="00220633"/>
    <w:rsid w:val="002363C0"/>
    <w:rsid w:val="00236DA3"/>
    <w:rsid w:val="002371FE"/>
    <w:rsid w:val="0025168A"/>
    <w:rsid w:val="00253002"/>
    <w:rsid w:val="0026161D"/>
    <w:rsid w:val="00263FFD"/>
    <w:rsid w:val="00273014"/>
    <w:rsid w:val="002804B3"/>
    <w:rsid w:val="002828F3"/>
    <w:rsid w:val="00287F01"/>
    <w:rsid w:val="002911D0"/>
    <w:rsid w:val="002A3B0E"/>
    <w:rsid w:val="002A3CDE"/>
    <w:rsid w:val="002A417F"/>
    <w:rsid w:val="002A44A9"/>
    <w:rsid w:val="002B4A4D"/>
    <w:rsid w:val="002B5B9C"/>
    <w:rsid w:val="002C20DA"/>
    <w:rsid w:val="002C3CE4"/>
    <w:rsid w:val="002C5059"/>
    <w:rsid w:val="002C5A09"/>
    <w:rsid w:val="002C6558"/>
    <w:rsid w:val="002D1F8B"/>
    <w:rsid w:val="002D24AC"/>
    <w:rsid w:val="002D343F"/>
    <w:rsid w:val="002D466F"/>
    <w:rsid w:val="002E5BD3"/>
    <w:rsid w:val="002E6689"/>
    <w:rsid w:val="002F1185"/>
    <w:rsid w:val="003034DA"/>
    <w:rsid w:val="00310BCD"/>
    <w:rsid w:val="0031242C"/>
    <w:rsid w:val="00315689"/>
    <w:rsid w:val="0031777C"/>
    <w:rsid w:val="003204E5"/>
    <w:rsid w:val="00321142"/>
    <w:rsid w:val="00321AF8"/>
    <w:rsid w:val="003233EB"/>
    <w:rsid w:val="003239D6"/>
    <w:rsid w:val="00325946"/>
    <w:rsid w:val="00326693"/>
    <w:rsid w:val="0032732A"/>
    <w:rsid w:val="00330CBE"/>
    <w:rsid w:val="003329B2"/>
    <w:rsid w:val="00332A49"/>
    <w:rsid w:val="00336415"/>
    <w:rsid w:val="00361097"/>
    <w:rsid w:val="003701B9"/>
    <w:rsid w:val="003723F1"/>
    <w:rsid w:val="00377834"/>
    <w:rsid w:val="00381008"/>
    <w:rsid w:val="00387555"/>
    <w:rsid w:val="00387C3F"/>
    <w:rsid w:val="003909AC"/>
    <w:rsid w:val="00394405"/>
    <w:rsid w:val="00396F11"/>
    <w:rsid w:val="00397072"/>
    <w:rsid w:val="003A3048"/>
    <w:rsid w:val="003A34B2"/>
    <w:rsid w:val="003A5188"/>
    <w:rsid w:val="003B0006"/>
    <w:rsid w:val="003B1A81"/>
    <w:rsid w:val="003B2F9C"/>
    <w:rsid w:val="003B6951"/>
    <w:rsid w:val="003C0658"/>
    <w:rsid w:val="003C13AA"/>
    <w:rsid w:val="003C2525"/>
    <w:rsid w:val="003C623F"/>
    <w:rsid w:val="003D37D3"/>
    <w:rsid w:val="003D7491"/>
    <w:rsid w:val="003E2100"/>
    <w:rsid w:val="003E2B63"/>
    <w:rsid w:val="003F40FB"/>
    <w:rsid w:val="003F6EC5"/>
    <w:rsid w:val="00400BDA"/>
    <w:rsid w:val="00403E08"/>
    <w:rsid w:val="004040B8"/>
    <w:rsid w:val="00404B92"/>
    <w:rsid w:val="00410737"/>
    <w:rsid w:val="00412965"/>
    <w:rsid w:val="0041473D"/>
    <w:rsid w:val="004153A5"/>
    <w:rsid w:val="00415987"/>
    <w:rsid w:val="00415A6B"/>
    <w:rsid w:val="0042517A"/>
    <w:rsid w:val="00430507"/>
    <w:rsid w:val="00434FDA"/>
    <w:rsid w:val="004351D3"/>
    <w:rsid w:val="00437FA1"/>
    <w:rsid w:val="004432AA"/>
    <w:rsid w:val="0045326D"/>
    <w:rsid w:val="004713B1"/>
    <w:rsid w:val="004721B7"/>
    <w:rsid w:val="004722C7"/>
    <w:rsid w:val="00474CBF"/>
    <w:rsid w:val="004811C0"/>
    <w:rsid w:val="004813CC"/>
    <w:rsid w:val="0049222A"/>
    <w:rsid w:val="00494B00"/>
    <w:rsid w:val="004A196A"/>
    <w:rsid w:val="004A6351"/>
    <w:rsid w:val="004B574A"/>
    <w:rsid w:val="004C01C7"/>
    <w:rsid w:val="004D052A"/>
    <w:rsid w:val="004D7631"/>
    <w:rsid w:val="004E016D"/>
    <w:rsid w:val="004E70F0"/>
    <w:rsid w:val="004F195D"/>
    <w:rsid w:val="004F6DE8"/>
    <w:rsid w:val="00511B35"/>
    <w:rsid w:val="005134BE"/>
    <w:rsid w:val="005143B8"/>
    <w:rsid w:val="005143EC"/>
    <w:rsid w:val="00514670"/>
    <w:rsid w:val="00514ABE"/>
    <w:rsid w:val="00514BC7"/>
    <w:rsid w:val="005204EA"/>
    <w:rsid w:val="00520D07"/>
    <w:rsid w:val="00520E02"/>
    <w:rsid w:val="0052301A"/>
    <w:rsid w:val="0052303D"/>
    <w:rsid w:val="00525ACA"/>
    <w:rsid w:val="00533A33"/>
    <w:rsid w:val="00535EF8"/>
    <w:rsid w:val="00540D19"/>
    <w:rsid w:val="0054239B"/>
    <w:rsid w:val="005449DB"/>
    <w:rsid w:val="00546730"/>
    <w:rsid w:val="005541D6"/>
    <w:rsid w:val="005709F9"/>
    <w:rsid w:val="00571A4B"/>
    <w:rsid w:val="00575A22"/>
    <w:rsid w:val="005A320D"/>
    <w:rsid w:val="005A59DB"/>
    <w:rsid w:val="005B3AF9"/>
    <w:rsid w:val="005B7165"/>
    <w:rsid w:val="005C2435"/>
    <w:rsid w:val="005C3903"/>
    <w:rsid w:val="005C6EAA"/>
    <w:rsid w:val="005C6F15"/>
    <w:rsid w:val="005D569F"/>
    <w:rsid w:val="005E19BE"/>
    <w:rsid w:val="005F3015"/>
    <w:rsid w:val="005F53AD"/>
    <w:rsid w:val="00623250"/>
    <w:rsid w:val="00630709"/>
    <w:rsid w:val="00630EBA"/>
    <w:rsid w:val="00631325"/>
    <w:rsid w:val="006317F8"/>
    <w:rsid w:val="00632776"/>
    <w:rsid w:val="00636806"/>
    <w:rsid w:val="006472D8"/>
    <w:rsid w:val="006476B0"/>
    <w:rsid w:val="00651ECC"/>
    <w:rsid w:val="006522FC"/>
    <w:rsid w:val="00653C0E"/>
    <w:rsid w:val="0065564E"/>
    <w:rsid w:val="0066296A"/>
    <w:rsid w:val="00666CFF"/>
    <w:rsid w:val="006676CF"/>
    <w:rsid w:val="0067572F"/>
    <w:rsid w:val="00685B52"/>
    <w:rsid w:val="006879AB"/>
    <w:rsid w:val="006979FC"/>
    <w:rsid w:val="006A0517"/>
    <w:rsid w:val="006A08D1"/>
    <w:rsid w:val="006A4CAB"/>
    <w:rsid w:val="006A726A"/>
    <w:rsid w:val="006B0B99"/>
    <w:rsid w:val="006B3918"/>
    <w:rsid w:val="006B4394"/>
    <w:rsid w:val="006C1C76"/>
    <w:rsid w:val="006C52E0"/>
    <w:rsid w:val="006D14C2"/>
    <w:rsid w:val="006D2483"/>
    <w:rsid w:val="006F5FDA"/>
    <w:rsid w:val="00704762"/>
    <w:rsid w:val="007054C2"/>
    <w:rsid w:val="0070620C"/>
    <w:rsid w:val="0071135C"/>
    <w:rsid w:val="00712E48"/>
    <w:rsid w:val="00713E75"/>
    <w:rsid w:val="007143CA"/>
    <w:rsid w:val="00715190"/>
    <w:rsid w:val="0071531D"/>
    <w:rsid w:val="0071755B"/>
    <w:rsid w:val="00722837"/>
    <w:rsid w:val="00724D0B"/>
    <w:rsid w:val="00732B7A"/>
    <w:rsid w:val="0073504C"/>
    <w:rsid w:val="00735575"/>
    <w:rsid w:val="00740DB8"/>
    <w:rsid w:val="007414A8"/>
    <w:rsid w:val="007426A2"/>
    <w:rsid w:val="00756A37"/>
    <w:rsid w:val="00763941"/>
    <w:rsid w:val="00781CF2"/>
    <w:rsid w:val="0078502A"/>
    <w:rsid w:val="007874F2"/>
    <w:rsid w:val="00791DEA"/>
    <w:rsid w:val="00792356"/>
    <w:rsid w:val="007928C9"/>
    <w:rsid w:val="0079402B"/>
    <w:rsid w:val="007A2F3C"/>
    <w:rsid w:val="007A50F8"/>
    <w:rsid w:val="007A78F8"/>
    <w:rsid w:val="007B0C36"/>
    <w:rsid w:val="007B2C9D"/>
    <w:rsid w:val="007B4728"/>
    <w:rsid w:val="007C0FDC"/>
    <w:rsid w:val="007D0113"/>
    <w:rsid w:val="007D05E8"/>
    <w:rsid w:val="007D2AFF"/>
    <w:rsid w:val="007D338C"/>
    <w:rsid w:val="007D6AFB"/>
    <w:rsid w:val="007D6F24"/>
    <w:rsid w:val="007E650D"/>
    <w:rsid w:val="007E7D4A"/>
    <w:rsid w:val="007F74E1"/>
    <w:rsid w:val="00801127"/>
    <w:rsid w:val="00810680"/>
    <w:rsid w:val="00812D04"/>
    <w:rsid w:val="0081798C"/>
    <w:rsid w:val="008250F9"/>
    <w:rsid w:val="00830B72"/>
    <w:rsid w:val="008361B5"/>
    <w:rsid w:val="008370CF"/>
    <w:rsid w:val="00840486"/>
    <w:rsid w:val="008534B6"/>
    <w:rsid w:val="00857AC3"/>
    <w:rsid w:val="008637D9"/>
    <w:rsid w:val="00870E0E"/>
    <w:rsid w:val="00872527"/>
    <w:rsid w:val="008771BB"/>
    <w:rsid w:val="00880AA4"/>
    <w:rsid w:val="00882E7D"/>
    <w:rsid w:val="00887873"/>
    <w:rsid w:val="008971DE"/>
    <w:rsid w:val="008A2F8B"/>
    <w:rsid w:val="008A6D21"/>
    <w:rsid w:val="008A7C96"/>
    <w:rsid w:val="008C7388"/>
    <w:rsid w:val="008E01B6"/>
    <w:rsid w:val="008E5553"/>
    <w:rsid w:val="008F04DE"/>
    <w:rsid w:val="008F1860"/>
    <w:rsid w:val="008F2C5D"/>
    <w:rsid w:val="00903BE2"/>
    <w:rsid w:val="00921C81"/>
    <w:rsid w:val="00922A72"/>
    <w:rsid w:val="00925868"/>
    <w:rsid w:val="00933E1A"/>
    <w:rsid w:val="00936369"/>
    <w:rsid w:val="0093753B"/>
    <w:rsid w:val="00942066"/>
    <w:rsid w:val="009428D9"/>
    <w:rsid w:val="00942D41"/>
    <w:rsid w:val="00945DD9"/>
    <w:rsid w:val="00947F18"/>
    <w:rsid w:val="00950849"/>
    <w:rsid w:val="00955A4F"/>
    <w:rsid w:val="009616FC"/>
    <w:rsid w:val="0096411E"/>
    <w:rsid w:val="00965664"/>
    <w:rsid w:val="00967438"/>
    <w:rsid w:val="00980887"/>
    <w:rsid w:val="0098095A"/>
    <w:rsid w:val="00982E24"/>
    <w:rsid w:val="0099183A"/>
    <w:rsid w:val="009926FB"/>
    <w:rsid w:val="009937D2"/>
    <w:rsid w:val="00994A28"/>
    <w:rsid w:val="0099512D"/>
    <w:rsid w:val="00995F5C"/>
    <w:rsid w:val="009A165C"/>
    <w:rsid w:val="009A74FE"/>
    <w:rsid w:val="009B1D92"/>
    <w:rsid w:val="009B5794"/>
    <w:rsid w:val="009B5EA8"/>
    <w:rsid w:val="009B76CC"/>
    <w:rsid w:val="009C06AD"/>
    <w:rsid w:val="009C27AF"/>
    <w:rsid w:val="009C629B"/>
    <w:rsid w:val="009C679A"/>
    <w:rsid w:val="009D124B"/>
    <w:rsid w:val="009D3A73"/>
    <w:rsid w:val="009D5E00"/>
    <w:rsid w:val="009D6AB8"/>
    <w:rsid w:val="009E79D9"/>
    <w:rsid w:val="009F0598"/>
    <w:rsid w:val="009F31AC"/>
    <w:rsid w:val="009F54E6"/>
    <w:rsid w:val="009F5DF9"/>
    <w:rsid w:val="00A01DFB"/>
    <w:rsid w:val="00A12EFF"/>
    <w:rsid w:val="00A12FEE"/>
    <w:rsid w:val="00A14FC4"/>
    <w:rsid w:val="00A17CD8"/>
    <w:rsid w:val="00A2040A"/>
    <w:rsid w:val="00A23714"/>
    <w:rsid w:val="00A24224"/>
    <w:rsid w:val="00A24996"/>
    <w:rsid w:val="00A34601"/>
    <w:rsid w:val="00A41106"/>
    <w:rsid w:val="00A450B0"/>
    <w:rsid w:val="00A50823"/>
    <w:rsid w:val="00A6600E"/>
    <w:rsid w:val="00A675C4"/>
    <w:rsid w:val="00A70BE2"/>
    <w:rsid w:val="00A7149F"/>
    <w:rsid w:val="00A81234"/>
    <w:rsid w:val="00AA08B6"/>
    <w:rsid w:val="00AA5A16"/>
    <w:rsid w:val="00AA7195"/>
    <w:rsid w:val="00AB65EB"/>
    <w:rsid w:val="00AC12C4"/>
    <w:rsid w:val="00AC3655"/>
    <w:rsid w:val="00AD3CEA"/>
    <w:rsid w:val="00AD5A09"/>
    <w:rsid w:val="00AD600C"/>
    <w:rsid w:val="00AE4DD1"/>
    <w:rsid w:val="00AF6282"/>
    <w:rsid w:val="00B0783D"/>
    <w:rsid w:val="00B110EA"/>
    <w:rsid w:val="00B11EC7"/>
    <w:rsid w:val="00B14B3A"/>
    <w:rsid w:val="00B20B3F"/>
    <w:rsid w:val="00B312D4"/>
    <w:rsid w:val="00B32BC6"/>
    <w:rsid w:val="00B3339F"/>
    <w:rsid w:val="00B34E62"/>
    <w:rsid w:val="00B37D5C"/>
    <w:rsid w:val="00B40F4A"/>
    <w:rsid w:val="00B45D9C"/>
    <w:rsid w:val="00B51A72"/>
    <w:rsid w:val="00B567C2"/>
    <w:rsid w:val="00B62BF6"/>
    <w:rsid w:val="00B7067D"/>
    <w:rsid w:val="00B74EA2"/>
    <w:rsid w:val="00B838F0"/>
    <w:rsid w:val="00B84CD8"/>
    <w:rsid w:val="00B861E1"/>
    <w:rsid w:val="00B87FA5"/>
    <w:rsid w:val="00B9099D"/>
    <w:rsid w:val="00B90C9F"/>
    <w:rsid w:val="00BA0CDC"/>
    <w:rsid w:val="00BA1F8A"/>
    <w:rsid w:val="00BA2DDE"/>
    <w:rsid w:val="00BA7F69"/>
    <w:rsid w:val="00BB75CB"/>
    <w:rsid w:val="00BC16FA"/>
    <w:rsid w:val="00BC2A4A"/>
    <w:rsid w:val="00BC7316"/>
    <w:rsid w:val="00BD1474"/>
    <w:rsid w:val="00BD60D0"/>
    <w:rsid w:val="00BF1E6B"/>
    <w:rsid w:val="00C03D6A"/>
    <w:rsid w:val="00C107F3"/>
    <w:rsid w:val="00C12E23"/>
    <w:rsid w:val="00C15A43"/>
    <w:rsid w:val="00C1698C"/>
    <w:rsid w:val="00C22109"/>
    <w:rsid w:val="00C32B3F"/>
    <w:rsid w:val="00C33A53"/>
    <w:rsid w:val="00C33E0E"/>
    <w:rsid w:val="00C34C07"/>
    <w:rsid w:val="00C357E9"/>
    <w:rsid w:val="00C40D52"/>
    <w:rsid w:val="00C41E6C"/>
    <w:rsid w:val="00C4210F"/>
    <w:rsid w:val="00C4349A"/>
    <w:rsid w:val="00C52D21"/>
    <w:rsid w:val="00C54044"/>
    <w:rsid w:val="00C7186C"/>
    <w:rsid w:val="00C86747"/>
    <w:rsid w:val="00C944F0"/>
    <w:rsid w:val="00C9755F"/>
    <w:rsid w:val="00CA201B"/>
    <w:rsid w:val="00CB1D0F"/>
    <w:rsid w:val="00CB3A71"/>
    <w:rsid w:val="00CB48C7"/>
    <w:rsid w:val="00CB748C"/>
    <w:rsid w:val="00CC3D0E"/>
    <w:rsid w:val="00CC4C48"/>
    <w:rsid w:val="00CD113E"/>
    <w:rsid w:val="00CD4689"/>
    <w:rsid w:val="00CD5D59"/>
    <w:rsid w:val="00CE0017"/>
    <w:rsid w:val="00CE0A2B"/>
    <w:rsid w:val="00CF4651"/>
    <w:rsid w:val="00D0177D"/>
    <w:rsid w:val="00D03847"/>
    <w:rsid w:val="00D04BD5"/>
    <w:rsid w:val="00D07A45"/>
    <w:rsid w:val="00D10CF1"/>
    <w:rsid w:val="00D137E3"/>
    <w:rsid w:val="00D141D6"/>
    <w:rsid w:val="00D14B57"/>
    <w:rsid w:val="00D151A9"/>
    <w:rsid w:val="00D152DA"/>
    <w:rsid w:val="00D22AB8"/>
    <w:rsid w:val="00D37081"/>
    <w:rsid w:val="00D41210"/>
    <w:rsid w:val="00D4641F"/>
    <w:rsid w:val="00D60E72"/>
    <w:rsid w:val="00D61274"/>
    <w:rsid w:val="00D72D20"/>
    <w:rsid w:val="00D74CCE"/>
    <w:rsid w:val="00D75230"/>
    <w:rsid w:val="00D76D60"/>
    <w:rsid w:val="00D77F0C"/>
    <w:rsid w:val="00D80D5F"/>
    <w:rsid w:val="00D839EC"/>
    <w:rsid w:val="00D84EB5"/>
    <w:rsid w:val="00D90B7D"/>
    <w:rsid w:val="00D9289A"/>
    <w:rsid w:val="00DA5F3B"/>
    <w:rsid w:val="00DA7068"/>
    <w:rsid w:val="00DA7ED9"/>
    <w:rsid w:val="00DB2B1C"/>
    <w:rsid w:val="00DB73FA"/>
    <w:rsid w:val="00DC2FA4"/>
    <w:rsid w:val="00DC42DD"/>
    <w:rsid w:val="00DC6153"/>
    <w:rsid w:val="00DE30E9"/>
    <w:rsid w:val="00DE465D"/>
    <w:rsid w:val="00DE677B"/>
    <w:rsid w:val="00DF2183"/>
    <w:rsid w:val="00E065FF"/>
    <w:rsid w:val="00E07FCD"/>
    <w:rsid w:val="00E1203E"/>
    <w:rsid w:val="00E137DC"/>
    <w:rsid w:val="00E27BA2"/>
    <w:rsid w:val="00E30EA6"/>
    <w:rsid w:val="00E350EC"/>
    <w:rsid w:val="00E4196C"/>
    <w:rsid w:val="00E46C8F"/>
    <w:rsid w:val="00E47A7F"/>
    <w:rsid w:val="00E614D7"/>
    <w:rsid w:val="00E6194D"/>
    <w:rsid w:val="00E645A3"/>
    <w:rsid w:val="00E650DD"/>
    <w:rsid w:val="00E67837"/>
    <w:rsid w:val="00E72462"/>
    <w:rsid w:val="00E72D55"/>
    <w:rsid w:val="00E77A52"/>
    <w:rsid w:val="00E83CAD"/>
    <w:rsid w:val="00E848BF"/>
    <w:rsid w:val="00E94B59"/>
    <w:rsid w:val="00E973C0"/>
    <w:rsid w:val="00E97788"/>
    <w:rsid w:val="00EA4CE9"/>
    <w:rsid w:val="00EA6CA7"/>
    <w:rsid w:val="00EA7BD1"/>
    <w:rsid w:val="00EB33EF"/>
    <w:rsid w:val="00EB6619"/>
    <w:rsid w:val="00EC016A"/>
    <w:rsid w:val="00EC1A73"/>
    <w:rsid w:val="00EC41FA"/>
    <w:rsid w:val="00ED44B0"/>
    <w:rsid w:val="00EF5F4E"/>
    <w:rsid w:val="00F012BC"/>
    <w:rsid w:val="00F176E7"/>
    <w:rsid w:val="00F33288"/>
    <w:rsid w:val="00F346FB"/>
    <w:rsid w:val="00F35088"/>
    <w:rsid w:val="00F37402"/>
    <w:rsid w:val="00F40B1A"/>
    <w:rsid w:val="00F42F1D"/>
    <w:rsid w:val="00F43C63"/>
    <w:rsid w:val="00F5410E"/>
    <w:rsid w:val="00F576C3"/>
    <w:rsid w:val="00F62EF1"/>
    <w:rsid w:val="00F66DAA"/>
    <w:rsid w:val="00F70DDA"/>
    <w:rsid w:val="00F93F9F"/>
    <w:rsid w:val="00FA3FCB"/>
    <w:rsid w:val="00FC232F"/>
    <w:rsid w:val="00FC36D8"/>
    <w:rsid w:val="00FC4043"/>
    <w:rsid w:val="00FC6485"/>
    <w:rsid w:val="00FC65C0"/>
    <w:rsid w:val="00FD2956"/>
    <w:rsid w:val="00FE095F"/>
    <w:rsid w:val="00FE19C8"/>
    <w:rsid w:val="00FE2174"/>
    <w:rsid w:val="00FE24C8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B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BCD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310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7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3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6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1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2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24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0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11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3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9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61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1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5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9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5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2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5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1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1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4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5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0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6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9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2017-09-08T07:26:00Z</dcterms:created>
  <dcterms:modified xsi:type="dcterms:W3CDTF">2017-09-08T08:19:00Z</dcterms:modified>
</cp:coreProperties>
</file>